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solution coverage report for cloud and partner-facing components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Privileged access across cloud and partner-facing components was not fully governed through PAM and MFA; periodic access reviews were inconsistent.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