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Real-time monitoring policy covering velocity patterns for UPI and digital lending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Real-time monitoring did not fully account for the velocity patterns of UPI and small-ticket digital lending disbursements, limiting detection of mule-account and fraud patterns.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