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Bharat Mercantile Bank Limited</w:t>
      </w:r>
    </w:p>
    <w:p>
      <w:pPr>
        <w:spacing w:after="200"/>
        <w:jc w:val="center"/>
      </w:pPr>
      <w:r>
        <w:rPr>
          <w:b w:val="false"/>
          <w:bCs w:val="false"/>
          <w:i/>
          <w:iCs/>
          <w:color w:val="595959"/>
          <w:sz w:val="20"/>
          <w:szCs w:val="20"/>
        </w:rPr>
        <w:t xml:space="preserve">Private Sector Scheduled Commercial Bank</w:t>
      </w:r>
    </w:p>
    <w:p>
      <w:pPr>
        <w:spacing w:after="60"/>
        <w:jc w:val="center"/>
      </w:pPr>
      <w:r>
        <w:rPr>
          <w:b/>
          <w:bCs/>
          <w:color w:val="262626"/>
          <w:sz w:val="22"/>
          <w:szCs w:val="22"/>
        </w:rPr>
        <w:t xml:space="preserve">February 03 to 13, 2025</w:t>
      </w:r>
    </w:p>
    <w:p>
      <w:pPr>
        <w:spacing w:after="400"/>
        <w:jc w:val="center"/>
      </w:pPr>
      <w:r>
        <w:rPr>
          <w:b w:val="false"/>
          <w:bCs w:val="false"/>
          <w:color w:val="595959"/>
          <w:sz w:val="18"/>
          <w:szCs w:val="18"/>
        </w:rPr>
        <w:t xml:space="preserve">Examination reference: DoS.CO.CSITEG.ITE.SCB.0412/2024-25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Bharat Mercantile Bank Limited (Private Sector SCB) was conducted February 03 to 13,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w:t>
      </w:r>
    </w:p>
    <w:p>
      <w:pPr>
        <w:pStyle w:val="ListParagraph"/>
        <w:numPr>
          <w:ilvl w:val="0"/>
          <w:numId w:val="2"/>
        </w:numPr>
        <w:spacing w:after="80" w:line="264"/>
      </w:pPr>
      <w:r>
        <w:t xml:space="preserve">RBI Circular DBS.CO/CSITE/BC.11/33.01.001/2015-16 on Cyber Security Framework in Banks dated June 2, 2016.</w:t>
      </w:r>
    </w:p>
    <w:p>
      <w:pPr>
        <w:pStyle w:val="ListParagraph"/>
        <w:numPr>
          <w:ilvl w:val="0"/>
          <w:numId w:val="2"/>
        </w:numPr>
        <w:spacing w:after="80" w:line="264"/>
      </w:pPr>
      <w:r>
        <w:t xml:space="preserve">RBI Master Direction DoS.CO.CSITE.SEC.No.1852/31.01.015/2020-21 on Digital Payment Security Controls dated February 18, 2021.</w:t>
      </w:r>
    </w:p>
    <w:p>
      <w:pPr>
        <w:pStyle w:val="ListParagraph"/>
        <w:numPr>
          <w:ilvl w:val="0"/>
          <w:numId w:val="2"/>
        </w:numPr>
        <w:spacing w:after="80" w:line="264"/>
      </w:pPr>
      <w:r>
        <w:t xml:space="preserve">Master Direction DoS.CO.CSITEG/SEC.1/31.01.015/2023-24 on Outsourcing of Information Technology Services dated April 10, 2023.</w:t>
      </w:r>
    </w:p>
    <w:p>
      <w:pPr>
        <w:pStyle w:val="ListParagraph"/>
        <w:numPr>
          <w:ilvl w:val="0"/>
          <w:numId w:val="2"/>
        </w:numPr>
        <w:spacing w:after="80" w:line="264"/>
      </w:pPr>
      <w:r>
        <w:t xml:space="preserve">RBI Circular DBS.CO/CSITE/BC.4493/31.01.015/2017-18 on operational controls in the SWIFT environment dated February 20, 2018.</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Data Centre (DC), Disaster Recovery (DR) and Near-DR sites of the bank.</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(SE)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1,86,420.00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branches / ATMs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612 / 1,040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94,18,260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Internet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41,02,118</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Mobile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57,84,990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UPI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62,11,455</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Debit / Credit cards issued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78,40,210 / 9,11,540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Top two channels of digital transactions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UPI &amp; Card</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Volume of SWIFT transactions (CY2024)</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1,42,330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10</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Core Banking (Finacle), Payment Switch, HSM, API Gateway</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services used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Public-cloud (customer-facing workloads), SaaS SIEM, SaaS email security</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IT and IS Governance</w:t>
      </w:r>
    </w:p>
    <w:p>
      <w:pPr>
        <w:pStyle w:val="ListParagraph"/>
        <w:numPr>
          <w:ilvl w:val="0"/>
          <w:numId w:val="2"/>
        </w:numPr>
        <w:spacing w:after="90" w:line="268"/>
      </w:pPr>
      <w:r>
        <w:t xml:space="preserve">The Board-level IT Strategy Committee met thrice during the year against the prescribed quarterly cadence and one member lacked substantial IT / cyber expertise; non-adherence to the IT Strategy Committee provisions of the IT Governance Directions, 2023.</w:t>
      </w:r>
    </w:p>
    <w:p>
      <w:pPr>
        <w:pStyle w:val="ListParagraph"/>
        <w:numPr>
          <w:ilvl w:val="0"/>
          <w:numId w:val="2"/>
        </w:numPr>
        <w:spacing w:after="90" w:line="268"/>
      </w:pPr>
      <w:r>
        <w:t xml:space="preserve">The Digital Payment Security Controls Policy did not clearly articulate the digital payment cycle (start / intermediate / end points), validations and exception handling for each product; non-adherence to para 4 of Chapter II of the DPSC Master Direction.</w:t>
      </w:r>
    </w:p>
    <w:p>
      <w:pPr>
        <w:pStyle w:val="Heading2"/>
        <w:shd w:fill="DCE6F1" w:val="clear"/>
        <w:spacing w:after="100" w:before="180"/>
      </w:pPr>
      <w:r>
        <w:rPr>
          <w:b/>
          <w:bCs/>
          <w:color w:val="1F3864"/>
          <w:sz w:val="21"/>
          <w:szCs w:val="21"/>
        </w:rPr>
        <w:t xml:space="preserve">User Access Control / Privileged Access</w:t>
      </w:r>
    </w:p>
    <w:p>
      <w:pPr>
        <w:pStyle w:val="ListParagraph"/>
        <w:numPr>
          <w:ilvl w:val="0"/>
          <w:numId w:val="2"/>
        </w:numPr>
        <w:spacing w:after="90" w:line="268"/>
      </w:pPr>
      <w:r>
        <w:t xml:space="preserve">Shared administrator accounts were in use on two critical servers and the PAM solution did not enforce session recording for database administrators.</w:t>
      </w:r>
    </w:p>
    <w:p>
      <w:pPr>
        <w:pStyle w:val="Heading2"/>
        <w:shd w:fill="DCE6F1" w:val="clear"/>
        <w:spacing w:after="100" w:before="180"/>
      </w:pPr>
      <w:r>
        <w:rPr>
          <w:b/>
          <w:bCs/>
          <w:color w:val="1F3864"/>
          <w:sz w:val="21"/>
          <w:szCs w:val="21"/>
        </w:rPr>
        <w:t xml:space="preserve">Business Continuity / Disaster Recovery</w:t>
      </w:r>
    </w:p>
    <w:p>
      <w:pPr>
        <w:pStyle w:val="ListParagraph"/>
        <w:numPr>
          <w:ilvl w:val="0"/>
          <w:numId w:val="2"/>
        </w:numPr>
        <w:spacing w:after="90" w:line="268"/>
      </w:pPr>
      <w:r>
        <w:t xml:space="preserve">The last full-scale DR drill was conducted 14 months prior and recovery objectives for internet and mobile banking were not validated end-to-end.</w:t>
      </w:r>
    </w:p>
    <w:p>
      <w:pPr>
        <w:pStyle w:val="Heading2"/>
        <w:shd w:fill="DCE6F1" w:val="clear"/>
        <w:spacing w:after="100" w:before="180"/>
      </w:pPr>
      <w:r>
        <w:rPr>
          <w:b/>
          <w:bCs/>
          <w:color w:val="1F3864"/>
          <w:sz w:val="21"/>
          <w:szCs w:val="21"/>
        </w:rPr>
        <w:t xml:space="preserve">Outsourcing / Cloud</w:t>
      </w:r>
    </w:p>
    <w:p>
      <w:pPr>
        <w:pStyle w:val="ListParagraph"/>
        <w:numPr>
          <w:ilvl w:val="0"/>
          <w:numId w:val="2"/>
        </w:numPr>
        <w:spacing w:after="90" w:line="268"/>
      </w:pPr>
      <w:r>
        <w:t xml:space="preserve">Customer-facing workloads were concentrated with a single cloud service provider and the exit / portability arrangement was not tested; NDA / SLA were not on record for two material IT service providers.</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The Board-level IT Strategy Committee met thrice during the year against the prescribed quarterly cadence and one member did not possess substantial IT / cyber expertise, which was non-adherence to the IT Strategy Committee provisions of the IT Governance, Risk, Controls and Assurance Practices Directions, 2023.</w:t>
      </w:r>
      <w:r>
        <w:rPr>
          <w:b/>
          <w:bCs/>
        </w:rPr>
        <w:t xml:space="preserve">	(Action)</w:t>
      </w:r>
    </w:p>
    <w:p>
      <w:pPr>
        <w:pStyle w:val="ListParagraph"/>
        <w:numPr>
          <w:ilvl w:val="0"/>
          <w:numId w:val="2"/>
        </w:numPr>
        <w:tabs>
          <w:tab w:val="right" w:pos="8926"/>
        </w:tabs>
        <w:spacing w:after="90" w:line="268"/>
      </w:pPr>
      <w:r>
        <w:t xml:space="preserve">The IT Steering Committee minutes did not consistently track project-level risk, budget variance and benefit realisation for material IT projects.</w:t>
      </w:r>
      <w:r>
        <w:rPr>
          <w:b/>
          <w:bCs/>
        </w:rPr>
        <w:t xml:space="preserve">	(Action)</w:t>
      </w:r>
    </w:p>
    <w:p>
      <w:pPr>
        <w:pStyle w:val="ListParagraph"/>
        <w:numPr>
          <w:ilvl w:val="0"/>
          <w:numId w:val="2"/>
        </w:numPr>
        <w:tabs>
          <w:tab w:val="right" w:pos="8926"/>
        </w:tabs>
        <w:spacing w:after="90" w:line="268"/>
      </w:pPr>
      <w:r>
        <w:t xml:space="preserve">The ‘Digital Payment Security Controls Policy’ did not include the mechanics, clear definition of the starting point, critical intermittent stages and end point of the digital payment cycle, validations and exception handling for every digital payment product, which was non-adherence to para 4 of Chapter II of the DPSC Master Direction dated February 18, 2021.</w:t>
      </w:r>
      <w:r>
        <w:rPr>
          <w:b/>
          <w:bCs/>
        </w:rPr>
        <w:t xml:space="preserve">	(Action)</w:t>
      </w:r>
    </w:p>
    <w:p>
      <w:pPr>
        <w:pStyle w:val="Heading2"/>
        <w:shd w:fill="DCE6F1" w:val="clear"/>
        <w:spacing w:after="100" w:before="180"/>
      </w:pPr>
      <w:r>
        <w:rPr>
          <w:b/>
          <w:bCs/>
          <w:color w:val="1F3864"/>
          <w:sz w:val="21"/>
          <w:szCs w:val="21"/>
        </w:rPr>
        <w:t xml:space="preserve">Information System (IS) Audit</w:t>
      </w:r>
    </w:p>
    <w:p>
      <w:pPr>
        <w:pStyle w:val="ListParagraph"/>
        <w:numPr>
          <w:ilvl w:val="0"/>
          <w:numId w:val="2"/>
        </w:numPr>
        <w:tabs>
          <w:tab w:val="right" w:pos="8926"/>
        </w:tabs>
        <w:spacing w:after="90" w:line="268"/>
      </w:pPr>
      <w:r>
        <w:t xml:space="preserve">Five observations of the FY 2023-24 IS audit, including one High-risk observation pertaining to database security, were open as on the date of IT Examination; the closure of prior observations was not tracked to root-cause.</w:t>
      </w:r>
      <w:r>
        <w:rPr>
          <w:b/>
          <w:bCs/>
        </w:rPr>
        <w:t xml:space="preserve">	(Action)</w:t>
      </w:r>
    </w:p>
    <w:p>
      <w:pPr>
        <w:pStyle w:val="Heading2"/>
        <w:shd w:fill="DCE6F1" w:val="clear"/>
        <w:spacing w:after="100" w:before="180"/>
      </w:pPr>
      <w:r>
        <w:rPr>
          <w:b/>
          <w:bCs/>
          <w:color w:val="1F3864"/>
          <w:sz w:val="21"/>
          <w:szCs w:val="21"/>
        </w:rPr>
        <w:t xml:space="preserve">Inventory Management of IT Assets</w:t>
      </w:r>
    </w:p>
    <w:p>
      <w:pPr>
        <w:spacing w:after="120" w:line="276"/>
      </w:pPr>
      <w:r>
        <w:t xml:space="preserve">On review of the asset-inventory process, the following gaps were observed, which were in violation of the IT asset-management provisions of the IT Governance Directions, 2023 and the Cyber Security Framework in Banks dated June 2, 2016:</w:t>
      </w:r>
    </w:p>
    <w:p>
      <w:pPr>
        <w:pStyle w:val="ListParagraph"/>
        <w:numPr>
          <w:ilvl w:val="0"/>
          <w:numId w:val="2"/>
        </w:numPr>
        <w:tabs>
          <w:tab w:val="right" w:pos="8926"/>
        </w:tabs>
        <w:spacing w:after="90" w:line="268"/>
      </w:pPr>
      <w:r>
        <w:t xml:space="preserve">The centralized IT asset inventory was not Board / management approved and version-control history (reviewer / approver) was not captured.</w:t>
      </w:r>
      <w:r>
        <w:rPr>
          <w:b/>
          <w:bCs/>
        </w:rPr>
        <w:t xml:space="preserve">	(Action)</w:t>
      </w:r>
    </w:p>
    <w:p>
      <w:pPr>
        <w:pStyle w:val="ListParagraph"/>
        <w:numPr>
          <w:ilvl w:val="0"/>
          <w:numId w:val="2"/>
        </w:numPr>
        <w:tabs>
          <w:tab w:val="right" w:pos="8926"/>
        </w:tabs>
        <w:spacing w:after="90" w:line="268"/>
      </w:pPr>
      <w:r>
        <w:t xml:space="preserve">The following End-of-Life / End-of-Support (EOL/S) systems were active in the environment without a documented upgrade / replacement plan:</w:t>
      </w:r>
      <w:r>
        <w:rPr>
          <w:b/>
          <w:bCs/>
        </w:rPr>
        <w:t xml:space="preserve">	(Action 3.2.1 to 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No. of Servers / DB</w:t>
            </w:r>
          </w:p>
        </w:tc>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Operating System / Database</w:t>
            </w:r>
          </w:p>
        </w:tc>
        <w:tc>
          <w:tcPr>
            <w:tcW w:type="dxa" w:w="3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End of Support Date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Windows Server 2012</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October 10, 2023</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12</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Microsoft SQL Server 2014</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July 09, 2024</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Oracle 11g</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December 31, 2020</w:t>
            </w:r>
          </w:p>
        </w:tc>
      </w:tr>
    </w:tbl>
    <w:p>
      <w:pPr>
        <w:pStyle w:val="Heading2"/>
        <w:shd w:fill="DCE6F1" w:val="clear"/>
        <w:spacing w:after="100" w:before="180"/>
      </w:pPr>
      <w:r>
        <w:rPr>
          <w:b/>
          <w:bCs/>
          <w:color w:val="1F3864"/>
          <w:sz w:val="21"/>
          <w:szCs w:val="21"/>
        </w:rPr>
        <w:t xml:space="preserve">Network Management and Security</w:t>
      </w:r>
    </w:p>
    <w:p>
      <w:pPr>
        <w:spacing w:after="120" w:line="276"/>
      </w:pPr>
      <w:r>
        <w:t xml:space="preserve">During review of the bank's perimeter and internal firewalls, the following gaps were observed, which were in violation of the network-security provisions of the Cyber Security Framework in Banks dated June 2, 2016:</w:t>
      </w:r>
    </w:p>
    <w:p>
      <w:pPr>
        <w:pStyle w:val="ListParagraph"/>
        <w:numPr>
          <w:ilvl w:val="0"/>
          <w:numId w:val="2"/>
        </w:numPr>
        <w:tabs>
          <w:tab w:val="right" w:pos="8926"/>
        </w:tabs>
        <w:spacing w:after="90" w:line="268"/>
      </w:pPr>
      <w:r>
        <w:t xml:space="preserve">Multiple firewall rules with destination ‘ANY’ were configured without business justification (sample rule IDs 10, 63, 234) and insecure HTTP / FTP ports were permitted on several rules.</w:t>
      </w:r>
      <w:r>
        <w:rPr>
          <w:b/>
          <w:bCs/>
        </w:rPr>
        <w:t xml:space="preserve">	(Action)</w:t>
      </w:r>
    </w:p>
    <w:p>
      <w:pPr>
        <w:pStyle w:val="ListParagraph"/>
        <w:numPr>
          <w:ilvl w:val="0"/>
          <w:numId w:val="2"/>
        </w:numPr>
        <w:tabs>
          <w:tab w:val="right" w:pos="8926"/>
        </w:tabs>
        <w:spacing w:after="90" w:line="268"/>
      </w:pPr>
      <w:r>
        <w:t xml:space="preserve">The perimeter firewalls were running on outdated firmware (n-3) against the latest available release.</w:t>
      </w:r>
      <w:r>
        <w:rPr>
          <w:b/>
          <w:bCs/>
        </w:rPr>
        <w:t xml:space="preserve">	(Action)</w:t>
      </w:r>
    </w:p>
    <w:p>
      <w:pPr>
        <w:pStyle w:val="Heading2"/>
        <w:shd w:fill="DCE6F1" w:val="clear"/>
        <w:spacing w:after="100" w:before="180"/>
      </w:pPr>
      <w:r>
        <w:rPr>
          <w:b/>
          <w:bCs/>
          <w:color w:val="1F3864"/>
          <w:sz w:val="21"/>
          <w:szCs w:val="21"/>
        </w:rPr>
        <w:t xml:space="preserve">Secure Configuration</w:t>
      </w:r>
    </w:p>
    <w:p>
      <w:pPr>
        <w:pStyle w:val="ListParagraph"/>
        <w:numPr>
          <w:ilvl w:val="0"/>
          <w:numId w:val="2"/>
        </w:numPr>
        <w:tabs>
          <w:tab w:val="right" w:pos="8926"/>
        </w:tabs>
        <w:spacing w:after="90" w:line="268"/>
      </w:pPr>
      <w:r>
        <w:t xml:space="preserve">Secure Configuration Documents (SCD) were not defined for middleware and several security solutions, and periodic configuration review was not performed against the defined half-yearly periodicity in the Information Security Policy.</w:t>
      </w:r>
      <w:r>
        <w:rPr>
          <w:b/>
          <w:bCs/>
        </w:rPr>
        <w:t xml:space="preserve">	(Action)</w:t>
      </w:r>
    </w:p>
    <w:p>
      <w:pPr>
        <w:pStyle w:val="Heading2"/>
        <w:shd w:fill="DCE6F1" w:val="clear"/>
        <w:spacing w:after="100" w:before="180"/>
      </w:pPr>
      <w:r>
        <w:rPr>
          <w:b/>
          <w:bCs/>
          <w:color w:val="1F3864"/>
          <w:sz w:val="21"/>
          <w:szCs w:val="21"/>
        </w:rPr>
        <w:t xml:space="preserve">Application Security Life Cycle (ASLC)</w:t>
      </w:r>
    </w:p>
    <w:p>
      <w:pPr>
        <w:spacing w:after="120" w:line="276"/>
      </w:pPr>
      <w:r>
        <w:t xml:space="preserve">The following gaps were observed in the application security life cycle:</w:t>
      </w:r>
    </w:p>
    <w:p>
      <w:pPr>
        <w:pStyle w:val="ListParagraph"/>
        <w:numPr>
          <w:ilvl w:val="0"/>
          <w:numId w:val="2"/>
        </w:numPr>
        <w:tabs>
          <w:tab w:val="right" w:pos="8926"/>
        </w:tabs>
        <w:spacing w:after="90" w:line="268"/>
      </w:pPr>
      <w:r>
        <w:t xml:space="preserve">The source-code review of a critical application conducted in the period was not remediated; all identified vulnerabilities were open as on the date of examination against the defined closure timelines (15 / 30 / 60 days).</w:t>
      </w:r>
      <w:r>
        <w:rPr>
          <w:b/>
          <w:bCs/>
        </w:rPr>
        <w:t xml:space="preserve">	(Action)</w:t>
      </w:r>
    </w:p>
    <w:p>
      <w:pPr>
        <w:pStyle w:val="ListParagraph"/>
        <w:numPr>
          <w:ilvl w:val="0"/>
          <w:numId w:val="2"/>
        </w:numPr>
        <w:tabs>
          <w:tab w:val="right" w:pos="8926"/>
        </w:tabs>
        <w:spacing w:after="90" w:line="268"/>
      </w:pPr>
      <w:r>
        <w:t xml:space="preserve">Personally Identifiable Information (PII) such as PAN and mobile number was not masked in the databases of Internet Banking, Mobile Banking and the CBS.</w:t>
      </w:r>
      <w:r>
        <w:rPr>
          <w:b/>
          <w:bCs/>
        </w:rPr>
        <w:t xml:space="preserve">	(Action)</w:t>
      </w:r>
    </w:p>
    <w:p>
      <w:pPr>
        <w:pStyle w:val="Heading2"/>
        <w:shd w:fill="DCE6F1" w:val="clear"/>
        <w:spacing w:after="100" w:before="180"/>
      </w:pPr>
      <w:r>
        <w:rPr>
          <w:b/>
          <w:bCs/>
          <w:color w:val="1F3864"/>
          <w:sz w:val="21"/>
          <w:szCs w:val="21"/>
        </w:rPr>
        <w:t xml:space="preserve">Patch, Vulnerability and Change Management</w:t>
      </w:r>
    </w:p>
    <w:p>
      <w:pPr>
        <w:pStyle w:val="ListParagraph"/>
        <w:numPr>
          <w:ilvl w:val="0"/>
          <w:numId w:val="2"/>
        </w:numPr>
        <w:tabs>
          <w:tab w:val="right" w:pos="8926"/>
        </w:tabs>
        <w:spacing w:after="90" w:line="268"/>
      </w:pPr>
      <w:r>
        <w:t xml:space="preserve">Third-party application software (e.g., Adobe Reader, MS Office, 7-Zip) and middleware (IIS, Apache Tomcat) installed on servers / endpoints were not tracked under the patch-management cycle.</w:t>
      </w:r>
      <w:r>
        <w:rPr>
          <w:b/>
          <w:bCs/>
        </w:rPr>
        <w:t xml:space="preserve">	(Action)</w:t>
      </w:r>
    </w:p>
    <w:p>
      <w:pPr>
        <w:pStyle w:val="ListParagraph"/>
        <w:numPr>
          <w:ilvl w:val="0"/>
          <w:numId w:val="2"/>
        </w:numPr>
        <w:tabs>
          <w:tab w:val="right" w:pos="8926"/>
        </w:tabs>
        <w:spacing w:after="90" w:line="268"/>
      </w:pPr>
      <w:r>
        <w:t xml:space="preserve">A centralized change-management function was not established; emergency changes were processed without consistent post-implementation review.</w:t>
      </w:r>
      <w:r>
        <w:rPr>
          <w:b/>
          <w:bCs/>
        </w:rPr>
        <w:t xml:space="preserve">	(Action)</w:t>
      </w:r>
    </w:p>
    <w:p>
      <w:pPr>
        <w:pStyle w:val="Heading2"/>
        <w:shd w:fill="DCE6F1" w:val="clear"/>
        <w:spacing w:after="100" w:before="180"/>
      </w:pPr>
      <w:r>
        <w:rPr>
          <w:b/>
          <w:bCs/>
          <w:color w:val="1F3864"/>
          <w:sz w:val="21"/>
          <w:szCs w:val="21"/>
        </w:rPr>
        <w:t xml:space="preserve">User Access Control / Management (incl. PAM)</w:t>
      </w:r>
    </w:p>
    <w:p>
      <w:pPr>
        <w:spacing w:after="120" w:line="276"/>
      </w:pPr>
      <w:r>
        <w:t xml:space="preserve">The following gaps were observed, which were in violation of the access-control provisions of the Cyber Security Framework in Banks dated June 2, 2016:</w:t>
      </w:r>
    </w:p>
    <w:p>
      <w:pPr>
        <w:pStyle w:val="ListParagraph"/>
        <w:numPr>
          <w:ilvl w:val="0"/>
          <w:numId w:val="2"/>
        </w:numPr>
        <w:tabs>
          <w:tab w:val="right" w:pos="8926"/>
        </w:tabs>
        <w:spacing w:after="90" w:line="268"/>
      </w:pPr>
      <w:r>
        <w:t xml:space="preserve">Shared administrator accounts were in use on two critical servers and the email-gateway / DLP solutions were not integrated with the PAM solution for centralized authentication; MFA was not configured for administrator users.</w:t>
      </w:r>
      <w:r>
        <w:rPr>
          <w:b/>
          <w:bCs/>
        </w:rPr>
        <w:t xml:space="preserve">	(Action)</w:t>
      </w:r>
    </w:p>
    <w:p>
      <w:pPr>
        <w:pStyle w:val="ListParagraph"/>
        <w:numPr>
          <w:ilvl w:val="0"/>
          <w:numId w:val="2"/>
        </w:numPr>
        <w:tabs>
          <w:tab w:val="right" w:pos="8926"/>
        </w:tabs>
        <w:spacing w:after="90" w:line="268"/>
      </w:pPr>
      <w:r>
        <w:t xml:space="preserve">Periodic user-access review was not performed for network and security devices.</w:t>
      </w:r>
      <w:r>
        <w:rPr>
          <w:b/>
          <w:bCs/>
        </w:rPr>
        <w:t xml:space="preserve">	(Action)</w:t>
      </w:r>
    </w:p>
    <w:p>
      <w:pPr>
        <w:pStyle w:val="Heading2"/>
        <w:shd w:fill="DCE6F1" w:val="clear"/>
        <w:spacing w:after="100" w:before="180"/>
      </w:pPr>
      <w:r>
        <w:rPr>
          <w:b/>
          <w:bCs/>
          <w:color w:val="1F3864"/>
          <w:sz w:val="21"/>
          <w:szCs w:val="21"/>
        </w:rPr>
        <w:t xml:space="preserve">Vendor Risk Management / Outsourcing</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Non-Disclosure Agreements (NDA) / Service-Level Agreements (SLA) were not on record for two material IT service providers.</w:t>
      </w:r>
      <w:r>
        <w:rPr>
          <w:b/>
          <w:bCs/>
        </w:rPr>
        <w:t xml:space="preserve">	(Action)</w:t>
      </w:r>
    </w:p>
    <w:p>
      <w:pPr>
        <w:pStyle w:val="ListParagraph"/>
        <w:numPr>
          <w:ilvl w:val="0"/>
          <w:numId w:val="2"/>
        </w:numPr>
        <w:tabs>
          <w:tab w:val="right" w:pos="8926"/>
        </w:tabs>
        <w:spacing w:after="90" w:line="268"/>
      </w:pPr>
      <w:r>
        <w:t xml:space="preserve">Customer-facing workloads were concentrated with a single cloud service provider and a documented, tested exit / portability arrangement was not in place.</w:t>
      </w:r>
      <w:r>
        <w:rPr>
          <w:b/>
          <w:bCs/>
        </w:rPr>
        <w:t xml:space="preserve">	(Action)</w:t>
      </w:r>
    </w:p>
    <w:p>
      <w:pPr>
        <w:pStyle w:val="Heading2"/>
        <w:shd w:fill="DCE6F1" w:val="clear"/>
        <w:spacing w:after="100" w:before="180"/>
      </w:pPr>
      <w:r>
        <w:rPr>
          <w:b/>
          <w:bCs/>
          <w:color w:val="1F3864"/>
          <w:sz w:val="21"/>
          <w:szCs w:val="21"/>
        </w:rPr>
        <w:t xml:space="preserve">Security Operations Centre (SOC) / Advanced Threat Defence</w:t>
      </w:r>
    </w:p>
    <w:p>
      <w:pPr>
        <w:pStyle w:val="ListParagraph"/>
        <w:numPr>
          <w:ilvl w:val="0"/>
          <w:numId w:val="2"/>
        </w:numPr>
        <w:tabs>
          <w:tab w:val="right" w:pos="8926"/>
        </w:tabs>
        <w:spacing w:after="90" w:line="268"/>
      </w:pPr>
      <w:r>
        <w:t xml:space="preserve">The SIEM had onboarded approximately 70% of critical assets; turnaround time (TAT) for alert closure was not defined and a large backlog of open alerts was observed in the EDR / XDR solution.</w:t>
      </w:r>
      <w:r>
        <w:rPr>
          <w:b/>
          <w:bCs/>
        </w:rPr>
        <w:t xml:space="preserve">	(Action)</w:t>
      </w:r>
    </w:p>
    <w:p>
      <w:pPr>
        <w:pStyle w:val="Heading2"/>
        <w:shd w:fill="DCE6F1" w:val="clear"/>
        <w:spacing w:after="100" w:before="180"/>
      </w:pPr>
      <w:r>
        <w:rPr>
          <w:b/>
          <w:bCs/>
          <w:color w:val="1F3864"/>
          <w:sz w:val="21"/>
          <w:szCs w:val="21"/>
        </w:rPr>
        <w:t xml:space="preserve">Fraud Risk Management (FRM)</w:t>
      </w:r>
    </w:p>
    <w:p>
      <w:pPr>
        <w:pStyle w:val="ListParagraph"/>
        <w:numPr>
          <w:ilvl w:val="0"/>
          <w:numId w:val="2"/>
        </w:numPr>
        <w:tabs>
          <w:tab w:val="right" w:pos="8926"/>
        </w:tabs>
        <w:spacing w:after="90" w:line="268"/>
      </w:pPr>
      <w:r>
        <w:t xml:space="preserve">Transaction monitoring was predominantly static rule-based and a cooling period was not consistently applied on certain beneficiary / limit changes; behavioural analytics were not implemented.</w:t>
      </w:r>
      <w:r>
        <w:rPr>
          <w:b/>
          <w:bCs/>
        </w:rPr>
        <w:t xml:space="preserve">	(Action)</w:t>
      </w:r>
    </w:p>
    <w:p>
      <w:pPr>
        <w:pStyle w:val="Heading2"/>
        <w:shd w:fill="DCE6F1" w:val="clear"/>
        <w:spacing w:after="100" w:before="180"/>
      </w:pPr>
      <w:r>
        <w:rPr>
          <w:b/>
          <w:bCs/>
          <w:color w:val="1F3864"/>
          <w:sz w:val="21"/>
          <w:szCs w:val="21"/>
        </w:rPr>
        <w:t xml:space="preserve">Personal / Corporate Internet Banking and Mobile Banking</w:t>
      </w:r>
    </w:p>
    <w:p>
      <w:pPr>
        <w:spacing w:after="120" w:line="276"/>
      </w:pPr>
      <w:r>
        <w:t xml:space="preserve">The following gaps were observed, which were in violation of the DPSC Master Direction dated February 18, 2021:</w:t>
      </w:r>
    </w:p>
    <w:p>
      <w:pPr>
        <w:pStyle w:val="ListParagraph"/>
        <w:numPr>
          <w:ilvl w:val="0"/>
          <w:numId w:val="2"/>
        </w:numPr>
        <w:tabs>
          <w:tab w:val="right" w:pos="8926"/>
        </w:tabs>
        <w:spacing w:after="90" w:line="268"/>
      </w:pPr>
      <w:r>
        <w:t xml:space="preserve">CAPTCHA was implemented only after two unsuccessful login attempts and an additional layer of authentication was not implemented at login, which was non-adherence to para 51 of Chapter III of the DPSC Master Direction.</w:t>
      </w:r>
      <w:r>
        <w:rPr>
          <w:b/>
          <w:bCs/>
        </w:rPr>
        <w:t xml:space="preserve">	(Action)</w:t>
      </w:r>
    </w:p>
    <w:p>
      <w:pPr>
        <w:pStyle w:val="ListParagraph"/>
        <w:numPr>
          <w:ilvl w:val="0"/>
          <w:numId w:val="2"/>
        </w:numPr>
        <w:tabs>
          <w:tab w:val="right" w:pos="8926"/>
        </w:tabs>
        <w:spacing w:after="90" w:line="268"/>
      </w:pPr>
      <w:r>
        <w:t xml:space="preserve">Validity was not set for system-generated passwords dispatched to customers, which was non-adherence to para 53 of Chapter III of the DPSC Master Direction.</w:t>
      </w:r>
      <w:r>
        <w:rPr>
          <w:b/>
          <w:bCs/>
        </w:rPr>
        <w:t xml:space="preserve">	(Action)</w:t>
      </w:r>
    </w:p>
    <w:p>
      <w:pPr>
        <w:pStyle w:val="Heading2"/>
        <w:shd w:fill="DCE6F1" w:val="clear"/>
        <w:spacing w:after="100" w:before="180"/>
      </w:pPr>
      <w:r>
        <w:rPr>
          <w:b/>
          <w:bCs/>
          <w:color w:val="1F3864"/>
          <w:sz w:val="21"/>
          <w:szCs w:val="21"/>
        </w:rPr>
        <w:t xml:space="preserve">Business Continuity and Disaster Recovery</w:t>
      </w:r>
    </w:p>
    <w:p>
      <w:pPr>
        <w:pStyle w:val="ListParagraph"/>
        <w:numPr>
          <w:ilvl w:val="0"/>
          <w:numId w:val="2"/>
        </w:numPr>
        <w:tabs>
          <w:tab w:val="right" w:pos="8926"/>
        </w:tabs>
        <w:spacing w:after="90" w:line="268"/>
      </w:pPr>
      <w:r>
        <w:t xml:space="preserve">The last full-scale DR drill was conducted 14 months prior and recovery objectives (RTO / RPO) for internet and mobile banking were not validated end-to-end.</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40</w:t>
      </w:r>
    </w:p>
    <w:p>
      <w:pPr>
        <w:pStyle w:val="ListParagraph"/>
        <w:numPr>
          <w:ilvl w:val="0"/>
          <w:numId w:val="2"/>
        </w:numPr>
        <w:spacing w:after="90" w:line="268"/>
      </w:pPr>
      <w:r>
        <w:rPr>
          <w:b/>
          <w:bCs/>
        </w:rPr>
        <w:t xml:space="preserve">Section 3 Observations: </w:t>
      </w:r>
      <w:r>
        <w:t xml:space="preserve">22 Action Points</w:t>
      </w:r>
    </w:p>
    <w:p>
      <w:pPr>
        <w:pStyle w:val="ListParagraph"/>
        <w:numPr>
          <w:ilvl w:val="0"/>
          <w:numId w:val="2"/>
        </w:numPr>
        <w:spacing w:after="90" w:line="268"/>
      </w:pPr>
      <w:r>
        <w:rPr>
          <w:b/>
          <w:bCs/>
        </w:rPr>
        <w:t xml:space="preserve">Annex I — Non-complied previous ITE observations: </w:t>
      </w:r>
      <w:r>
        <w:t xml:space="preserve">5 Action Points</w:t>
      </w:r>
    </w:p>
    <w:p>
      <w:pPr>
        <w:pStyle w:val="ListParagraph"/>
        <w:numPr>
          <w:ilvl w:val="0"/>
          <w:numId w:val="2"/>
        </w:numPr>
        <w:spacing w:after="90" w:line="268"/>
      </w:pPr>
      <w:r>
        <w:rPr>
          <w:b/>
          <w:bCs/>
        </w:rPr>
        <w:t xml:space="preserve">Annex II — Non-compliance to Advisories and Alerts: </w:t>
      </w:r>
      <w:r>
        <w:t xml:space="preserve">8 Action Points</w:t>
      </w:r>
    </w:p>
    <w:p>
      <w:pPr>
        <w:pStyle w:val="ListParagraph"/>
        <w:numPr>
          <w:ilvl w:val="0"/>
          <w:numId w:val="2"/>
        </w:numPr>
        <w:spacing w:after="90" w:line="268"/>
      </w:pPr>
      <w:r>
        <w:rPr>
          <w:b/>
          <w:bCs/>
        </w:rPr>
        <w:t xml:space="preserve">Annex III — Non-compliance to DPSC Circular: </w:t>
      </w:r>
      <w:r>
        <w:t xml:space="preserve">5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Application logs of Corporate Internet Banking were not integrated with the SIEM solution.</w:t>
      </w:r>
    </w:p>
    <w:p>
      <w:pPr>
        <w:pStyle w:val="ListParagraph"/>
        <w:numPr>
          <w:ilvl w:val="0"/>
          <w:numId w:val="2"/>
        </w:numPr>
        <w:spacing w:after="90" w:line="268"/>
      </w:pPr>
      <w:r>
        <w:t xml:space="preserve">Reconciliation of certain non-financial messages was performed manually and can be automated with recorded sign-offs.</w:t>
      </w:r>
    </w:p>
    <w:p>
      <w:pPr>
        <w:pStyle w:val="ListParagraph"/>
        <w:numPr>
          <w:ilvl w:val="0"/>
          <w:numId w:val="2"/>
        </w:numPr>
        <w:spacing w:after="90" w:line="268"/>
      </w:pPr>
      <w:r>
        <w:t xml:space="preserve">Capacity-planning reports for digital channels were prepared on an ad hoc basis.</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Governance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Several regulatory instructions deliberated at IT / IS committees were partially / not complied.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BCP/DR</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DR drill for critical security tools (VPN, SOC, PIM) not performed annually per policy.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Patch / Vulnerability</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31</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Out-of-support operating systems in use on end-user systems and servers.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C-SOC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50</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applications (Mobile / Internet banking, SWIFT) not integrated with SIEM.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Risk-based txn monitoring</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Behavioural / adaptive monitoring not implemented across all channels.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Strengthening Controls on the Payment System Infrastructure and General Control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22-Nov-23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8/2023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Additional Layer of Security for Internet Banking and Public Facing Websites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Board-approved policy for digital payment products covering Functionality, Security and Performance (FSP) aspects; periodic (at least yearly) review.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23</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Source-code escrow arrangement for digital payment applications licensed from third-party vendors to ensure service continuity.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51</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Additional authentication and anti-automation (e.g., CAPTCHA) controls on internet banking login.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53</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Defined validity for system-generated passwords dispatched to customers.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26</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Process to compare results of successive VA scans to confirm non-recurrence of known vulnerabilities.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BMBL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Bharat Mercantile Bank Limited</dc:title>
  <dc:creator>RBI CSITEG (fictional sample)</dc:creator>
  <cp:lastModifiedBy>Un-named</cp:lastModifiedBy>
  <cp:revision>1</cp:revision>
  <dcterms:created xsi:type="dcterms:W3CDTF">2026-06-16T03:00:56.398Z</dcterms:created>
  <dcterms:modified xsi:type="dcterms:W3CDTF">2026-06-16T03:00:56.398Z</dcterms:modified>
</cp:coreProperties>
</file>

<file path=docProps/custom.xml><?xml version="1.0" encoding="utf-8"?>
<Properties xmlns="http://schemas.openxmlformats.org/officeDocument/2006/custom-properties" xmlns:vt="http://schemas.openxmlformats.org/officeDocument/2006/docPropsVTypes"/>
</file>