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A5C"/>
          <w:sz w:val="40"/>
        </w:rPr>
        <w:t>Bharat Mercantile Bank Limited</w:t>
      </w:r>
    </w:p>
    <w:p>
      <w:pPr>
        <w:spacing w:before="200" w:after="80"/>
      </w:pPr>
      <w:r>
        <w:rPr>
          <w:b/>
          <w:color w:val="2C5F8A"/>
          <w:sz w:val="32"/>
        </w:rPr>
        <w:t>IT Strategy Committee Charter &amp; Policy Document</w:t>
      </w:r>
    </w:p>
    <w:p>
      <w:pPr>
        <w:spacing w:before="20" w:after="20"/>
      </w:pPr>
      <w:r>
        <w:rPr>
          <w:b/>
          <w:sz w:val="20"/>
        </w:rPr>
        <w:t>Document Reference:</w:t>
      </w:r>
      <w:r>
        <w:rPr>
          <w:sz w:val="20"/>
        </w:rPr>
        <w:t xml:space="preserve"> BMBL/ITGC/CHTR/001</w:t>
      </w:r>
    </w:p>
    <w:p>
      <w:pPr>
        <w:spacing w:before="20" w:after="20"/>
      </w:pPr>
      <w:r>
        <w:rPr>
          <w:b/>
          <w:sz w:val="20"/>
        </w:rPr>
        <w:t>Version:</w:t>
      </w:r>
      <w:r>
        <w:rPr>
          <w:sz w:val="20"/>
        </w:rPr>
        <w:t xml:space="preserve"> 2.1</w:t>
      </w:r>
    </w:p>
    <w:p>
      <w:pPr>
        <w:spacing w:before="20" w:after="20"/>
      </w:pPr>
      <w:r>
        <w:rPr>
          <w:b/>
          <w:sz w:val="20"/>
        </w:rPr>
        <w:t>Effective Date:</w:t>
      </w:r>
      <w:r>
        <w:rPr>
          <w:sz w:val="20"/>
        </w:rPr>
        <w:t xml:space="preserve"> 01 April 2024</w:t>
      </w:r>
    </w:p>
    <w:p>
      <w:pPr>
        <w:spacing w:before="20" w:after="20"/>
      </w:pPr>
      <w:r>
        <w:rPr>
          <w:b/>
          <w:sz w:val="20"/>
        </w:rPr>
        <w:t>Review Cycle:</w:t>
      </w:r>
      <w:r>
        <w:rPr>
          <w:sz w:val="20"/>
        </w:rPr>
        <w:t xml:space="preserve"> Annual</w:t>
      </w:r>
    </w:p>
    <w:p>
      <w:pPr>
        <w:spacing w:before="20" w:after="20"/>
      </w:pPr>
      <w:r>
        <w:rPr>
          <w:b/>
          <w:sz w:val="20"/>
        </w:rPr>
        <w:t>Owner:</w:t>
      </w:r>
      <w:r>
        <w:rPr>
          <w:sz w:val="20"/>
        </w:rPr>
        <w:t xml:space="preserve"> Board of Directors</w:t>
      </w:r>
    </w:p>
    <w:p>
      <w:pPr>
        <w:spacing w:before="20" w:after="20"/>
      </w:pPr>
      <w:r>
        <w:rPr>
          <w:b/>
          <w:sz w:val="20"/>
        </w:rPr>
        <w:t>Approved By:</w:t>
      </w:r>
      <w:r>
        <w:rPr>
          <w:sz w:val="20"/>
        </w:rPr>
        <w:t xml:space="preserve"> Board of Directors – Resolution No. BOD/2024/089</w:t>
      </w:r>
    </w:p>
    <w:p>
      <w:pPr>
        <w:spacing w:before="160" w:after="60"/>
      </w:pPr>
      <w:r>
        <w:rPr>
          <w:b/>
          <w:color w:val="3A7CA5"/>
          <w:sz w:val="26"/>
        </w:rP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Version</w:t>
            </w:r>
          </w:p>
        </w:tc>
        <w:tc>
          <w:tcPr>
            <w:tcW w:type="dxa" w:w="2351"/>
            <w:shd w:fill="1B3A5C"/>
          </w:tcPr>
          <w:p>
            <w:pPr>
              <w:spacing w:before="40" w:after="40"/>
            </w:pPr>
            <w:r>
              <w:rPr>
                <w:b/>
                <w:color w:val="FFFFFF"/>
                <w:sz w:val="20"/>
              </w:rPr>
            </w:r>
            <w:r>
              <w:rPr>
                <w:b/>
                <w:color w:val="FFFFFF"/>
                <w:sz w:val="20"/>
              </w:rPr>
              <w:t>Date</w:t>
            </w:r>
          </w:p>
        </w:tc>
        <w:tc>
          <w:tcPr>
            <w:tcW w:type="dxa" w:w="2351"/>
            <w:shd w:fill="1B3A5C"/>
          </w:tcPr>
          <w:p>
            <w:pPr>
              <w:spacing w:before="40" w:after="40"/>
            </w:pPr>
            <w:r>
              <w:rPr>
                <w:b/>
                <w:color w:val="FFFFFF"/>
                <w:sz w:val="20"/>
              </w:rPr>
            </w:r>
            <w:r>
              <w:rPr>
                <w:b/>
                <w:color w:val="FFFFFF"/>
                <w:sz w:val="20"/>
              </w:rPr>
              <w:t>Author</w:t>
            </w:r>
          </w:p>
        </w:tc>
        <w:tc>
          <w:tcPr>
            <w:tcW w:type="dxa" w:w="2351"/>
            <w:shd w:fill="1B3A5C"/>
          </w:tcPr>
          <w:p>
            <w:pPr>
              <w:spacing w:before="40" w:after="40"/>
            </w:pPr>
            <w:r>
              <w:rPr>
                <w:b/>
                <w:color w:val="FFFFFF"/>
                <w:sz w:val="20"/>
              </w:rPr>
            </w:r>
            <w:r>
              <w:rPr>
                <w:b/>
                <w:color w:val="FFFFFF"/>
                <w:sz w:val="20"/>
              </w:rPr>
              <w:t>Description of Change</w:t>
            </w:r>
          </w:p>
        </w:tc>
      </w:tr>
      <w:tr>
        <w:tc>
          <w:tcPr>
            <w:tcW w:type="dxa" w:w="2351"/>
          </w:tcPr>
          <w:p>
            <w:pPr>
              <w:spacing w:before="40" w:after="40"/>
            </w:pPr>
            <w:r>
              <w:rPr>
                <w:sz w:val="20"/>
              </w:rPr>
            </w:r>
            <w:r>
              <w:rPr>
                <w:sz w:val="20"/>
              </w:rPr>
              <w:t>1.0</w:t>
            </w:r>
          </w:p>
        </w:tc>
        <w:tc>
          <w:tcPr>
            <w:tcW w:type="dxa" w:w="2351"/>
          </w:tcPr>
          <w:p>
            <w:pPr>
              <w:spacing w:before="40" w:after="40"/>
            </w:pPr>
            <w:r>
              <w:rPr>
                <w:sz w:val="20"/>
              </w:rPr>
            </w:r>
            <w:r>
              <w:rPr>
                <w:sz w:val="20"/>
              </w:rPr>
              <w:t>15 Jun 2022</w:t>
            </w:r>
          </w:p>
        </w:tc>
        <w:tc>
          <w:tcPr>
            <w:tcW w:type="dxa" w:w="2351"/>
          </w:tcPr>
          <w:p>
            <w:pPr>
              <w:spacing w:before="40" w:after="40"/>
            </w:pPr>
            <w:r>
              <w:rPr>
                <w:sz w:val="20"/>
              </w:rPr>
            </w:r>
            <w:r>
              <w:rPr>
                <w:sz w:val="20"/>
              </w:rPr>
              <w:t>IT Governance Cell</w:t>
            </w:r>
          </w:p>
        </w:tc>
        <w:tc>
          <w:tcPr>
            <w:tcW w:type="dxa" w:w="2351"/>
          </w:tcPr>
          <w:p>
            <w:pPr>
              <w:spacing w:before="40" w:after="40"/>
            </w:pPr>
            <w:r>
              <w:rPr>
                <w:sz w:val="20"/>
              </w:rPr>
            </w:r>
            <w:r>
              <w:rPr>
                <w:sz w:val="20"/>
              </w:rPr>
              <w:t>Initial Charter</w:t>
            </w:r>
          </w:p>
        </w:tc>
      </w:tr>
      <w:tr>
        <w:tc>
          <w:tcPr>
            <w:tcW w:type="dxa" w:w="2351"/>
            <w:shd w:fill="F2F7FB"/>
          </w:tcPr>
          <w:p>
            <w:pPr>
              <w:spacing w:before="40" w:after="40"/>
            </w:pPr>
            <w:r>
              <w:rPr>
                <w:sz w:val="20"/>
              </w:rPr>
            </w:r>
            <w:r>
              <w:rPr>
                <w:sz w:val="20"/>
              </w:rPr>
              <w:t>2.0</w:t>
            </w:r>
          </w:p>
        </w:tc>
        <w:tc>
          <w:tcPr>
            <w:tcW w:type="dxa" w:w="2351"/>
            <w:shd w:fill="F2F7FB"/>
          </w:tcPr>
          <w:p>
            <w:pPr>
              <w:spacing w:before="40" w:after="40"/>
            </w:pPr>
            <w:r>
              <w:rPr>
                <w:sz w:val="20"/>
              </w:rPr>
            </w:r>
            <w:r>
              <w:rPr>
                <w:sz w:val="20"/>
              </w:rPr>
              <w:t>20 Mar 2024</w:t>
            </w:r>
          </w:p>
        </w:tc>
        <w:tc>
          <w:tcPr>
            <w:tcW w:type="dxa" w:w="2351"/>
            <w:shd w:fill="F2F7FB"/>
          </w:tcPr>
          <w:p>
            <w:pPr>
              <w:spacing w:before="40" w:after="40"/>
            </w:pPr>
            <w:r>
              <w:rPr>
                <w:sz w:val="20"/>
              </w:rPr>
            </w:r>
            <w:r>
              <w:rPr>
                <w:sz w:val="20"/>
              </w:rPr>
              <w:t>IT Governance Cell</w:t>
            </w:r>
          </w:p>
        </w:tc>
        <w:tc>
          <w:tcPr>
            <w:tcW w:type="dxa" w:w="2351"/>
            <w:shd w:fill="F2F7FB"/>
          </w:tcPr>
          <w:p>
            <w:pPr>
              <w:spacing w:before="40" w:after="40"/>
            </w:pPr>
            <w:r>
              <w:rPr>
                <w:sz w:val="20"/>
              </w:rPr>
            </w:r>
            <w:r>
              <w:rPr>
                <w:sz w:val="20"/>
              </w:rPr>
              <w:t>Revised per RBI DOR Circular 2023-24</w:t>
            </w:r>
          </w:p>
        </w:tc>
      </w:tr>
      <w:tr>
        <w:tc>
          <w:tcPr>
            <w:tcW w:type="dxa" w:w="2351"/>
          </w:tcPr>
          <w:p>
            <w:pPr>
              <w:spacing w:before="40" w:after="40"/>
            </w:pPr>
            <w:r>
              <w:rPr>
                <w:sz w:val="20"/>
              </w:rPr>
            </w:r>
            <w:r>
              <w:rPr>
                <w:sz w:val="20"/>
              </w:rPr>
              <w:t>2.1</w:t>
            </w:r>
          </w:p>
        </w:tc>
        <w:tc>
          <w:tcPr>
            <w:tcW w:type="dxa" w:w="2351"/>
          </w:tcPr>
          <w:p>
            <w:pPr>
              <w:spacing w:before="40" w:after="40"/>
            </w:pPr>
            <w:r>
              <w:rPr>
                <w:sz w:val="20"/>
              </w:rPr>
            </w:r>
            <w:r>
              <w:rPr>
                <w:sz w:val="20"/>
              </w:rPr>
              <w:t>28 Mar 2024</w:t>
            </w:r>
          </w:p>
        </w:tc>
        <w:tc>
          <w:tcPr>
            <w:tcW w:type="dxa" w:w="2351"/>
          </w:tcPr>
          <w:p>
            <w:pPr>
              <w:spacing w:before="40" w:after="40"/>
            </w:pPr>
            <w:r>
              <w:rPr>
                <w:sz w:val="20"/>
              </w:rPr>
            </w:r>
            <w:r>
              <w:rPr>
                <w:sz w:val="20"/>
              </w:rPr>
              <w:t>Company Secretary</w:t>
            </w:r>
          </w:p>
        </w:tc>
        <w:tc>
          <w:tcPr>
            <w:tcW w:type="dxa" w:w="2351"/>
          </w:tcPr>
          <w:p>
            <w:pPr>
              <w:spacing w:before="40" w:after="40"/>
            </w:pPr>
            <w:r>
              <w:rPr>
                <w:sz w:val="20"/>
              </w:rPr>
            </w:r>
            <w:r>
              <w:rPr>
                <w:sz w:val="20"/>
              </w:rPr>
              <w:t>BOD approved – composition &amp; quorum updated</w:t>
            </w:r>
          </w:p>
        </w:tc>
      </w:tr>
    </w:tbl>
    <w:p/>
    <w:p>
      <w:pPr>
        <w:spacing w:before="160" w:after="60"/>
      </w:pPr>
      <w:r>
        <w:rPr>
          <w:b/>
          <w:color w:val="3A7CA5"/>
          <w:sz w:val="26"/>
        </w:rPr>
        <w:t>Distribution List</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Role</w:t>
            </w:r>
          </w:p>
        </w:tc>
        <w:tc>
          <w:tcPr>
            <w:tcW w:type="dxa" w:w="4703"/>
            <w:shd w:fill="1B3A5C"/>
          </w:tcPr>
          <w:p>
            <w:pPr>
              <w:spacing w:before="40" w:after="40"/>
            </w:pPr>
            <w:r>
              <w:rPr>
                <w:b/>
                <w:color w:val="FFFFFF"/>
                <w:sz w:val="20"/>
              </w:rPr>
            </w:r>
            <w:r>
              <w:rPr>
                <w:b/>
                <w:color w:val="FFFFFF"/>
                <w:sz w:val="20"/>
              </w:rPr>
              <w:t>Department</w:t>
            </w:r>
          </w:p>
        </w:tc>
      </w:tr>
      <w:tr>
        <w:tc>
          <w:tcPr>
            <w:tcW w:type="dxa" w:w="4703"/>
          </w:tcPr>
          <w:p>
            <w:pPr>
              <w:spacing w:before="40" w:after="40"/>
            </w:pPr>
            <w:r>
              <w:rPr>
                <w:sz w:val="20"/>
              </w:rPr>
            </w:r>
            <w:r>
              <w:rPr>
                <w:sz w:val="20"/>
              </w:rPr>
              <w:t>Chairman – IT Strategy Committee</w:t>
            </w:r>
          </w:p>
        </w:tc>
        <w:tc>
          <w:tcPr>
            <w:tcW w:type="dxa" w:w="4703"/>
          </w:tcPr>
          <w:p>
            <w:pPr>
              <w:spacing w:before="40" w:after="40"/>
            </w:pPr>
            <w:r>
              <w:rPr>
                <w:sz w:val="20"/>
              </w:rPr>
            </w:r>
            <w:r>
              <w:rPr>
                <w:sz w:val="20"/>
              </w:rPr>
              <w:t>Board of Directors</w:t>
            </w:r>
          </w:p>
        </w:tc>
      </w:tr>
      <w:tr>
        <w:tc>
          <w:tcPr>
            <w:tcW w:type="dxa" w:w="4703"/>
            <w:shd w:fill="F2F7FB"/>
          </w:tcPr>
          <w:p>
            <w:pPr>
              <w:spacing w:before="40" w:after="40"/>
            </w:pPr>
            <w:r>
              <w:rPr>
                <w:sz w:val="20"/>
              </w:rPr>
            </w:r>
            <w:r>
              <w:rPr>
                <w:sz w:val="20"/>
              </w:rPr>
              <w:t>Members – IT Strategy Committee</w:t>
            </w:r>
          </w:p>
        </w:tc>
        <w:tc>
          <w:tcPr>
            <w:tcW w:type="dxa" w:w="4703"/>
            <w:shd w:fill="F2F7FB"/>
          </w:tcPr>
          <w:p>
            <w:pPr>
              <w:spacing w:before="40" w:after="40"/>
            </w:pPr>
            <w:r>
              <w:rPr>
                <w:sz w:val="20"/>
              </w:rPr>
            </w:r>
            <w:r>
              <w:rPr>
                <w:sz w:val="20"/>
              </w:rPr>
              <w:t>Board of Directors</w:t>
            </w:r>
          </w:p>
        </w:tc>
      </w:tr>
      <w:tr>
        <w:tc>
          <w:tcPr>
            <w:tcW w:type="dxa" w:w="4703"/>
          </w:tcPr>
          <w:p>
            <w:pPr>
              <w:spacing w:before="40" w:after="40"/>
            </w:pPr>
            <w:r>
              <w:rPr>
                <w:sz w:val="20"/>
              </w:rPr>
            </w:r>
            <w:r>
              <w:rPr>
                <w:sz w:val="20"/>
              </w:rPr>
              <w:t>Chief Information Officer</w:t>
            </w:r>
          </w:p>
        </w:tc>
        <w:tc>
          <w:tcPr>
            <w:tcW w:type="dxa" w:w="4703"/>
          </w:tcPr>
          <w:p>
            <w:pPr>
              <w:spacing w:before="40" w:after="40"/>
            </w:pPr>
            <w:r>
              <w:rPr>
                <w:sz w:val="20"/>
              </w:rPr>
            </w:r>
            <w:r>
              <w:rPr>
                <w:sz w:val="20"/>
              </w:rPr>
              <w:t>IT Department</w:t>
            </w:r>
          </w:p>
        </w:tc>
      </w:tr>
      <w:tr>
        <w:tc>
          <w:tcPr>
            <w:tcW w:type="dxa" w:w="4703"/>
            <w:shd w:fill="F2F7FB"/>
          </w:tcPr>
          <w:p>
            <w:pPr>
              <w:spacing w:before="40" w:after="40"/>
            </w:pPr>
            <w:r>
              <w:rPr>
                <w:sz w:val="20"/>
              </w:rPr>
            </w:r>
            <w:r>
              <w:rPr>
                <w:sz w:val="20"/>
              </w:rPr>
              <w:t>Chief Risk Officer</w:t>
            </w:r>
          </w:p>
        </w:tc>
        <w:tc>
          <w:tcPr>
            <w:tcW w:type="dxa" w:w="4703"/>
            <w:shd w:fill="F2F7FB"/>
          </w:tcPr>
          <w:p>
            <w:pPr>
              <w:spacing w:before="40" w:after="40"/>
            </w:pPr>
            <w:r>
              <w:rPr>
                <w:sz w:val="20"/>
              </w:rPr>
            </w:r>
            <w:r>
              <w:rPr>
                <w:sz w:val="20"/>
              </w:rPr>
              <w:t>Risk Management</w:t>
            </w:r>
          </w:p>
        </w:tc>
      </w:tr>
      <w:tr>
        <w:tc>
          <w:tcPr>
            <w:tcW w:type="dxa" w:w="4703"/>
          </w:tcPr>
          <w:p>
            <w:pPr>
              <w:spacing w:before="40" w:after="40"/>
            </w:pPr>
            <w:r>
              <w:rPr>
                <w:sz w:val="20"/>
              </w:rPr>
            </w:r>
            <w:r>
              <w:rPr>
                <w:sz w:val="20"/>
              </w:rPr>
              <w:t>Head – Internal Audit</w:t>
            </w:r>
          </w:p>
        </w:tc>
        <w:tc>
          <w:tcPr>
            <w:tcW w:type="dxa" w:w="4703"/>
          </w:tcPr>
          <w:p>
            <w:pPr>
              <w:spacing w:before="40" w:after="40"/>
            </w:pPr>
            <w:r>
              <w:rPr>
                <w:sz w:val="20"/>
              </w:rPr>
            </w:r>
            <w:r>
              <w:rPr>
                <w:sz w:val="20"/>
              </w:rPr>
              <w:t>Internal Audit</w:t>
            </w:r>
          </w:p>
        </w:tc>
      </w:tr>
      <w:tr>
        <w:tc>
          <w:tcPr>
            <w:tcW w:type="dxa" w:w="4703"/>
            <w:shd w:fill="F2F7FB"/>
          </w:tcPr>
          <w:p>
            <w:pPr>
              <w:spacing w:before="40" w:after="40"/>
            </w:pPr>
            <w:r>
              <w:rPr>
                <w:sz w:val="20"/>
              </w:rPr>
            </w:r>
            <w:r>
              <w:rPr>
                <w:sz w:val="20"/>
              </w:rPr>
              <w:t>Company Secretary</w:t>
            </w:r>
          </w:p>
        </w:tc>
        <w:tc>
          <w:tcPr>
            <w:tcW w:type="dxa" w:w="4703"/>
            <w:shd w:fill="F2F7FB"/>
          </w:tcPr>
          <w:p>
            <w:pPr>
              <w:spacing w:before="40" w:after="40"/>
            </w:pPr>
            <w:r>
              <w:rPr>
                <w:sz w:val="20"/>
              </w:rPr>
            </w:r>
            <w:r>
              <w:rPr>
                <w:sz w:val="20"/>
              </w:rPr>
              <w:t>Secretarial</w:t>
            </w:r>
          </w:p>
        </w:tc>
      </w:tr>
      <w:tr>
        <w:tc>
          <w:tcPr>
            <w:tcW w:type="dxa" w:w="4703"/>
          </w:tcPr>
          <w:p>
            <w:pPr>
              <w:spacing w:before="40" w:after="40"/>
            </w:pPr>
            <w:r>
              <w:rPr>
                <w:sz w:val="20"/>
              </w:rPr>
            </w:r>
            <w:r>
              <w:rPr>
                <w:sz w:val="20"/>
              </w:rPr>
              <w:t>Reserve Bank of India (as required)</w:t>
            </w:r>
          </w:p>
        </w:tc>
        <w:tc>
          <w:tcPr>
            <w:tcW w:type="dxa" w:w="4703"/>
          </w:tcPr>
          <w:p>
            <w:pPr>
              <w:spacing w:before="40" w:after="40"/>
            </w:pPr>
            <w:r>
              <w:rPr>
                <w:sz w:val="20"/>
              </w:rPr>
            </w:r>
            <w:r>
              <w:rPr>
                <w:sz w:val="20"/>
              </w:rPr>
              <w:t>Regulatory Compliance</w:t>
            </w:r>
          </w:p>
        </w:tc>
      </w:tr>
    </w:tbl>
    <w:p/>
    <w:p>
      <w:pPr>
        <w:spacing w:before="160" w:after="60"/>
      </w:pPr>
      <w:r>
        <w:rPr>
          <w:b/>
          <w:color w:val="3A7CA5"/>
          <w:sz w:val="26"/>
        </w:rPr>
        <w:t>1. Purpose</w:t>
      </w:r>
    </w:p>
    <w:p>
      <w:pPr>
        <w:spacing w:before="20" w:after="20"/>
      </w:pPr>
      <w:r>
        <w:rPr>
          <w:sz w:val="20"/>
        </w:rPr>
        <w:t>The IT Strategy Committee (ITSC) is constituted by the Board of Directors of Bharat Mercantile Bank Limited ("the Bank") to provide strategic direction, oversight, and governance over the Bank's information technology (IT) architecture, digital transformation initiatives, cybersecurity posture, and technology-related risk management frameworks. This Charter defines the composition, authority, responsibilities, meeting frequency, and operational protocols of the Committee.</w:t>
      </w:r>
    </w:p>
    <w:p>
      <w:pPr>
        <w:spacing w:before="160" w:after="60"/>
      </w:pPr>
      <w:r>
        <w:rPr>
          <w:b/>
          <w:color w:val="3A7CA5"/>
          <w:sz w:val="26"/>
        </w:rPr>
        <w:t>2. Legal and Regulatory Basis</w:t>
      </w:r>
    </w:p>
    <w:p>
      <w:pPr>
        <w:spacing w:before="20" w:after="20"/>
      </w:pPr>
      <w:r>
        <w:rPr>
          <w:sz w:val="20"/>
        </w:rPr>
        <w:t>This Charter is framed in alignment with the following regulatory instruments:</w:t>
      </w:r>
    </w:p>
    <w:p>
      <w:pPr>
        <w:spacing w:before="20" w:after="20"/>
      </w:pPr>
      <w:r>
        <w:rPr>
          <w:sz w:val="20"/>
        </w:rPr>
        <w:t>1. Reserve Bank of India – Master Direction on Information Technology Governance, Risk Management, Controls and Assurance Practices (DOR.CON.FIN.REC. No. 45/29.67.001/2023-24) dated 15 January 2024</w:t>
      </w:r>
    </w:p>
    <w:p>
      <w:pPr>
        <w:spacing w:before="20" w:after="20"/>
      </w:pPr>
      <w:r>
        <w:rPr>
          <w:sz w:val="20"/>
        </w:rPr>
        <w:t>2. RBI Circular on Cyber Resilience Framework (DBR.No.Master Circular/2023)</w:t>
      </w:r>
    </w:p>
    <w:p>
      <w:pPr>
        <w:spacing w:before="20" w:after="20"/>
      </w:pPr>
      <w:r>
        <w:rPr>
          <w:sz w:val="20"/>
        </w:rPr>
        <w:t>3. Section 134(3) of the Companies Act, 2013 – Report of Board of Directors</w:t>
      </w:r>
    </w:p>
    <w:p>
      <w:pPr>
        <w:spacing w:before="20" w:after="20"/>
      </w:pPr>
      <w:r>
        <w:rPr>
          <w:sz w:val="20"/>
        </w:rPr>
        <w:t>4. SEBI (Listing Obligations and Disclosure Requirements) Regulations, 2015</w:t>
      </w:r>
    </w:p>
    <w:p>
      <w:pPr>
        <w:spacing w:before="20" w:after="20"/>
      </w:pPr>
      <w:r>
        <w:rPr>
          <w:sz w:val="20"/>
        </w:rPr>
        <w:t>5. ISO/IEC 38500:2015 – IT Governance Framework</w:t>
      </w:r>
    </w:p>
    <w:p>
      <w:pPr>
        <w:spacing w:before="160" w:after="60"/>
      </w:pPr>
      <w:r>
        <w:rPr>
          <w:b/>
          <w:color w:val="3A7CA5"/>
          <w:sz w:val="26"/>
        </w:rPr>
        <w:t>3. Composition of the Committee</w:t>
      </w:r>
    </w:p>
    <w:p>
      <w:pPr>
        <w:spacing w:before="120" w:after="40"/>
      </w:pPr>
      <w:r>
        <w:rPr>
          <w:b/>
          <w:color w:val="4A90B0"/>
          <w:sz w:val="22"/>
        </w:rPr>
        <w:t>3.1 Membership Requirements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Category</w:t>
            </w:r>
          </w:p>
        </w:tc>
        <w:tc>
          <w:tcPr>
            <w:tcW w:type="dxa" w:w="2351"/>
            <w:shd w:fill="1B3A5C"/>
          </w:tcPr>
          <w:p>
            <w:pPr>
              <w:spacing w:before="40" w:after="40"/>
            </w:pPr>
            <w:r>
              <w:rPr>
                <w:b/>
                <w:color w:val="FFFFFF"/>
                <w:sz w:val="20"/>
              </w:rPr>
            </w:r>
            <w:r>
              <w:rPr>
                <w:b/>
                <w:color w:val="FFFFFF"/>
                <w:sz w:val="20"/>
              </w:rPr>
              <w:t>Minimum</w:t>
            </w:r>
          </w:p>
        </w:tc>
        <w:tc>
          <w:tcPr>
            <w:tcW w:type="dxa" w:w="2351"/>
            <w:shd w:fill="1B3A5C"/>
          </w:tcPr>
          <w:p>
            <w:pPr>
              <w:spacing w:before="40" w:after="40"/>
            </w:pPr>
            <w:r>
              <w:rPr>
                <w:b/>
                <w:color w:val="FFFFFF"/>
                <w:sz w:val="20"/>
              </w:rPr>
            </w:r>
            <w:r>
              <w:rPr>
                <w:b/>
                <w:color w:val="FFFFFF"/>
                <w:sz w:val="20"/>
              </w:rPr>
              <w:t>Maximum</w:t>
            </w:r>
          </w:p>
        </w:tc>
        <w:tc>
          <w:tcPr>
            <w:tcW w:type="dxa" w:w="2351"/>
            <w:shd w:fill="1B3A5C"/>
          </w:tcPr>
          <w:p>
            <w:pPr>
              <w:spacing w:before="40" w:after="40"/>
            </w:pPr>
            <w:r>
              <w:rPr>
                <w:b/>
                <w:color w:val="FFFFFF"/>
                <w:sz w:val="20"/>
              </w:rPr>
            </w:r>
            <w:r>
              <w:rPr>
                <w:b/>
                <w:color w:val="FFFFFF"/>
                <w:sz w:val="20"/>
              </w:rPr>
              <w:t>Requirement</w:t>
            </w:r>
          </w:p>
        </w:tc>
      </w:tr>
      <w:tr>
        <w:tc>
          <w:tcPr>
            <w:tcW w:type="dxa" w:w="2351"/>
          </w:tcPr>
          <w:p>
            <w:pPr>
              <w:spacing w:before="40" w:after="40"/>
            </w:pPr>
            <w:r>
              <w:rPr>
                <w:sz w:val="20"/>
              </w:rPr>
            </w:r>
            <w:r>
              <w:rPr>
                <w:sz w:val="20"/>
              </w:rPr>
              <w:t>Board of Directors (Non-Executive)</w:t>
            </w:r>
          </w:p>
        </w:tc>
        <w:tc>
          <w:tcPr>
            <w:tcW w:type="dxa" w:w="2351"/>
          </w:tcPr>
          <w:p>
            <w:pPr>
              <w:spacing w:before="40" w:after="40"/>
            </w:pPr>
            <w:r>
              <w:rPr>
                <w:sz w:val="20"/>
              </w:rPr>
            </w:r>
            <w:r>
              <w:rPr>
                <w:sz w:val="20"/>
              </w:rPr>
              <w:t>2</w:t>
            </w:r>
          </w:p>
        </w:tc>
        <w:tc>
          <w:tcPr>
            <w:tcW w:type="dxa" w:w="2351"/>
          </w:tcPr>
          <w:p>
            <w:pPr>
              <w:spacing w:before="40" w:after="40"/>
            </w:pPr>
            <w:r>
              <w:rPr>
                <w:sz w:val="20"/>
              </w:rPr>
            </w:r>
            <w:r>
              <w:rPr>
                <w:sz w:val="20"/>
              </w:rPr>
              <w:t>4</w:t>
            </w:r>
          </w:p>
        </w:tc>
        <w:tc>
          <w:tcPr>
            <w:tcW w:type="dxa" w:w="2351"/>
          </w:tcPr>
          <w:p>
            <w:pPr>
              <w:spacing w:before="40" w:after="40"/>
            </w:pPr>
            <w:r>
              <w:rPr>
                <w:sz w:val="20"/>
              </w:rPr>
            </w:r>
            <w:r>
              <w:rPr>
                <w:sz w:val="20"/>
              </w:rPr>
              <w:t>At least one with IT/cyber expertise</w:t>
            </w:r>
          </w:p>
        </w:tc>
      </w:tr>
      <w:tr>
        <w:tc>
          <w:tcPr>
            <w:tcW w:type="dxa" w:w="2351"/>
            <w:shd w:fill="F2F7FB"/>
          </w:tcPr>
          <w:p>
            <w:pPr>
              <w:spacing w:before="40" w:after="40"/>
            </w:pPr>
            <w:r>
              <w:rPr>
                <w:sz w:val="20"/>
              </w:rPr>
            </w:r>
            <w:r>
              <w:rPr>
                <w:sz w:val="20"/>
              </w:rPr>
              <w:t>Independent Directors</w:t>
            </w:r>
          </w:p>
        </w:tc>
        <w:tc>
          <w:tcPr>
            <w:tcW w:type="dxa" w:w="2351"/>
            <w:shd w:fill="F2F7FB"/>
          </w:tcPr>
          <w:p>
            <w:pPr>
              <w:spacing w:before="40" w:after="40"/>
            </w:pPr>
            <w:r>
              <w:rPr>
                <w:sz w:val="20"/>
              </w:rPr>
            </w:r>
            <w:r>
              <w:rPr>
                <w:sz w:val="20"/>
              </w:rPr>
              <w:t>1</w:t>
            </w:r>
          </w:p>
        </w:tc>
        <w:tc>
          <w:tcPr>
            <w:tcW w:type="dxa" w:w="2351"/>
            <w:shd w:fill="F2F7FB"/>
          </w:tcPr>
          <w:p>
            <w:pPr>
              <w:spacing w:before="40" w:after="40"/>
            </w:pPr>
            <w:r>
              <w:rPr>
                <w:sz w:val="20"/>
              </w:rPr>
            </w:r>
            <w:r>
              <w:rPr>
                <w:sz w:val="20"/>
              </w:rPr>
              <w:t>2</w:t>
            </w:r>
          </w:p>
        </w:tc>
        <w:tc>
          <w:tcPr>
            <w:tcW w:type="dxa" w:w="2351"/>
            <w:shd w:fill="F2F7FB"/>
          </w:tcPr>
          <w:p>
            <w:pPr>
              <w:spacing w:before="40" w:after="40"/>
            </w:pPr>
            <w:r>
              <w:rPr>
                <w:sz w:val="20"/>
              </w:rPr>
            </w:r>
            <w:r>
              <w:rPr>
                <w:sz w:val="20"/>
              </w:rPr>
              <w:t>May be included subject to Board approval</w:t>
            </w:r>
          </w:p>
        </w:tc>
      </w:tr>
      <w:tr>
        <w:tc>
          <w:tcPr>
            <w:tcW w:type="dxa" w:w="2351"/>
          </w:tcPr>
          <w:p>
            <w:pPr>
              <w:spacing w:before="40" w:after="40"/>
            </w:pPr>
            <w:r>
              <w:rPr>
                <w:sz w:val="20"/>
              </w:rPr>
            </w:r>
            <w:r>
              <w:rPr>
                <w:sz w:val="20"/>
              </w:rPr>
              <w:t>Chief Information Officer (Invitee)</w:t>
            </w:r>
          </w:p>
        </w:tc>
        <w:tc>
          <w:tcPr>
            <w:tcW w:type="dxa" w:w="2351"/>
          </w:tcPr>
          <w:p>
            <w:pPr>
              <w:spacing w:before="40" w:after="40"/>
            </w:pPr>
            <w:r>
              <w:rPr>
                <w:sz w:val="20"/>
              </w:rPr>
            </w:r>
            <w:r>
              <w:rPr>
                <w:sz w:val="20"/>
              </w:rPr>
              <w:t>-</w:t>
            </w:r>
          </w:p>
        </w:tc>
        <w:tc>
          <w:tcPr>
            <w:tcW w:type="dxa" w:w="2351"/>
          </w:tcPr>
          <w:p>
            <w:pPr>
              <w:spacing w:before="40" w:after="40"/>
            </w:pPr>
            <w:r>
              <w:rPr>
                <w:sz w:val="20"/>
              </w:rPr>
            </w:r>
            <w:r>
              <w:rPr>
                <w:sz w:val="20"/>
              </w:rPr>
              <w:t>1</w:t>
            </w:r>
          </w:p>
        </w:tc>
        <w:tc>
          <w:tcPr>
            <w:tcW w:type="dxa" w:w="2351"/>
          </w:tcPr>
          <w:p>
            <w:pPr>
              <w:spacing w:before="40" w:after="40"/>
            </w:pPr>
            <w:r>
              <w:rPr>
                <w:sz w:val="20"/>
              </w:rPr>
            </w:r>
            <w:r>
              <w:rPr>
                <w:sz w:val="20"/>
              </w:rPr>
              <w:t>Permanent invitee – non-voting</w:t>
            </w:r>
          </w:p>
        </w:tc>
      </w:tr>
      <w:tr>
        <w:tc>
          <w:tcPr>
            <w:tcW w:type="dxa" w:w="2351"/>
            <w:shd w:fill="F2F7FB"/>
          </w:tcPr>
          <w:p>
            <w:pPr>
              <w:spacing w:before="40" w:after="40"/>
            </w:pPr>
            <w:r>
              <w:rPr>
                <w:sz w:val="20"/>
              </w:rPr>
            </w:r>
            <w:r>
              <w:rPr>
                <w:sz w:val="20"/>
              </w:rPr>
              <w:t>Chief Risk Officer (Invitee)</w:t>
            </w:r>
          </w:p>
        </w:tc>
        <w:tc>
          <w:tcPr>
            <w:tcW w:type="dxa" w:w="2351"/>
            <w:shd w:fill="F2F7FB"/>
          </w:tcPr>
          <w:p>
            <w:pPr>
              <w:spacing w:before="40" w:after="40"/>
            </w:pPr>
            <w:r>
              <w:rPr>
                <w:sz w:val="20"/>
              </w:rPr>
            </w:r>
            <w:r>
              <w:rPr>
                <w:sz w:val="20"/>
              </w:rPr>
              <w:t>-</w:t>
            </w:r>
          </w:p>
        </w:tc>
        <w:tc>
          <w:tcPr>
            <w:tcW w:type="dxa" w:w="2351"/>
            <w:shd w:fill="F2F7FB"/>
          </w:tcPr>
          <w:p>
            <w:pPr>
              <w:spacing w:before="40" w:after="40"/>
            </w:pPr>
            <w:r>
              <w:rPr>
                <w:sz w:val="20"/>
              </w:rPr>
            </w:r>
            <w:r>
              <w:rPr>
                <w:sz w:val="20"/>
              </w:rPr>
              <w:t>1</w:t>
            </w:r>
          </w:p>
        </w:tc>
        <w:tc>
          <w:tcPr>
            <w:tcW w:type="dxa" w:w="2351"/>
            <w:shd w:fill="F2F7FB"/>
          </w:tcPr>
          <w:p>
            <w:pPr>
              <w:spacing w:before="40" w:after="40"/>
            </w:pPr>
            <w:r>
              <w:rPr>
                <w:sz w:val="20"/>
              </w:rPr>
            </w:r>
            <w:r>
              <w:rPr>
                <w:sz w:val="20"/>
              </w:rPr>
              <w:t>Permanent invitee – non-voting</w:t>
            </w:r>
          </w:p>
        </w:tc>
      </w:tr>
      <w:tr>
        <w:tc>
          <w:tcPr>
            <w:tcW w:type="dxa" w:w="2351"/>
          </w:tcPr>
          <w:p>
            <w:pPr>
              <w:spacing w:before="40" w:after="40"/>
            </w:pPr>
            <w:r>
              <w:rPr>
                <w:sz w:val="20"/>
              </w:rPr>
            </w:r>
            <w:r>
              <w:rPr>
                <w:sz w:val="20"/>
              </w:rPr>
              <w:t>External IT Expert (Optional)</w:t>
            </w:r>
          </w:p>
        </w:tc>
        <w:tc>
          <w:tcPr>
            <w:tcW w:type="dxa" w:w="2351"/>
          </w:tcPr>
          <w:p>
            <w:pPr>
              <w:spacing w:before="40" w:after="40"/>
            </w:pPr>
            <w:r>
              <w:rPr>
                <w:sz w:val="20"/>
              </w:rPr>
            </w:r>
            <w:r>
              <w:rPr>
                <w:sz w:val="20"/>
              </w:rPr>
              <w:t>0</w:t>
            </w:r>
          </w:p>
        </w:tc>
        <w:tc>
          <w:tcPr>
            <w:tcW w:type="dxa" w:w="2351"/>
          </w:tcPr>
          <w:p>
            <w:pPr>
              <w:spacing w:before="40" w:after="40"/>
            </w:pPr>
            <w:r>
              <w:rPr>
                <w:sz w:val="20"/>
              </w:rPr>
            </w:r>
            <w:r>
              <w:rPr>
                <w:sz w:val="20"/>
              </w:rPr>
              <w:t>1</w:t>
            </w:r>
          </w:p>
        </w:tc>
        <w:tc>
          <w:tcPr>
            <w:tcW w:type="dxa" w:w="2351"/>
          </w:tcPr>
          <w:p>
            <w:pPr>
              <w:spacing w:before="40" w:after="40"/>
            </w:pPr>
            <w:r>
              <w:rPr>
                <w:sz w:val="20"/>
              </w:rPr>
            </w:r>
            <w:r>
              <w:rPr>
                <w:sz w:val="20"/>
              </w:rPr>
              <w:t>Subject matter expert with 15+ years IT experience</w:t>
            </w:r>
          </w:p>
        </w:tc>
      </w:tr>
    </w:tbl>
    <w:p/>
    <w:p>
      <w:pPr>
        <w:spacing w:before="120" w:after="40"/>
      </w:pPr>
      <w:r>
        <w:rPr>
          <w:b/>
          <w:color w:val="4A90B0"/>
          <w:sz w:val="22"/>
        </w:rPr>
        <w:t>3.2 Expertise Criteria for Members</w:t>
      </w:r>
    </w:p>
    <w:p>
      <w:pPr>
        <w:spacing w:before="20" w:after="20"/>
      </w:pPr>
      <w:r>
        <w:rPr>
          <w:sz w:val="20"/>
        </w:rPr>
        <w:t>Every member of the IT Strategy Committee shall meet one or more of the following expertise criteria: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Domain</w:t>
            </w:r>
          </w:p>
        </w:tc>
        <w:tc>
          <w:tcPr>
            <w:tcW w:type="dxa" w:w="3135"/>
            <w:shd w:fill="1B3A5C"/>
          </w:tcPr>
          <w:p>
            <w:pPr>
              <w:spacing w:before="40" w:after="40"/>
            </w:pPr>
            <w:r>
              <w:rPr>
                <w:b/>
                <w:color w:val="FFFFFF"/>
                <w:sz w:val="20"/>
              </w:rPr>
            </w:r>
            <w:r>
              <w:rPr>
                <w:b/>
                <w:color w:val="FFFFFF"/>
                <w:sz w:val="20"/>
              </w:rPr>
              <w:t>Minimum Qualification</w:t>
            </w:r>
          </w:p>
        </w:tc>
        <w:tc>
          <w:tcPr>
            <w:tcW w:type="dxa" w:w="3135"/>
            <w:shd w:fill="1B3A5C"/>
          </w:tcPr>
          <w:p>
            <w:pPr>
              <w:spacing w:before="40" w:after="40"/>
            </w:pPr>
            <w:r>
              <w:rPr>
                <w:b/>
                <w:color w:val="FFFFFF"/>
                <w:sz w:val="20"/>
              </w:rPr>
            </w:r>
            <w:r>
              <w:rPr>
                <w:b/>
                <w:color w:val="FFFFFF"/>
                <w:sz w:val="20"/>
              </w:rPr>
              <w:t>Relevant Experience</w:t>
            </w:r>
          </w:p>
        </w:tc>
      </w:tr>
      <w:tr>
        <w:tc>
          <w:tcPr>
            <w:tcW w:type="dxa" w:w="3135"/>
          </w:tcPr>
          <w:p>
            <w:pPr>
              <w:spacing w:before="40" w:after="40"/>
            </w:pPr>
            <w:r>
              <w:rPr>
                <w:sz w:val="20"/>
              </w:rPr>
            </w:r>
            <w:r>
              <w:rPr>
                <w:sz w:val="20"/>
              </w:rPr>
              <w:t>Information Technology</w:t>
            </w:r>
          </w:p>
        </w:tc>
        <w:tc>
          <w:tcPr>
            <w:tcW w:type="dxa" w:w="3135"/>
          </w:tcPr>
          <w:p>
            <w:pPr>
              <w:spacing w:before="40" w:after="40"/>
            </w:pPr>
            <w:r>
              <w:rPr>
                <w:sz w:val="20"/>
              </w:rPr>
            </w:r>
            <w:r>
              <w:rPr>
                <w:sz w:val="20"/>
              </w:rPr>
              <w:t>BE/BTech in CS/IT or MCA or MSc (CS)</w:t>
            </w:r>
          </w:p>
        </w:tc>
        <w:tc>
          <w:tcPr>
            <w:tcW w:type="dxa" w:w="3135"/>
          </w:tcPr>
          <w:p>
            <w:pPr>
              <w:spacing w:before="40" w:after="40"/>
            </w:pPr>
            <w:r>
              <w:rPr>
                <w:sz w:val="20"/>
              </w:rPr>
            </w:r>
            <w:r>
              <w:rPr>
                <w:sz w:val="20"/>
              </w:rPr>
              <w:t>15+ years in IT strategy or IT management</w:t>
            </w:r>
          </w:p>
        </w:tc>
      </w:tr>
      <w:tr>
        <w:tc>
          <w:tcPr>
            <w:tcW w:type="dxa" w:w="3135"/>
            <w:shd w:fill="F2F7FB"/>
          </w:tcPr>
          <w:p>
            <w:pPr>
              <w:spacing w:before="40" w:after="40"/>
            </w:pPr>
            <w:r>
              <w:rPr>
                <w:sz w:val="20"/>
              </w:rPr>
            </w:r>
            <w:r>
              <w:rPr>
                <w:sz w:val="20"/>
              </w:rPr>
              <w:t>Cybersecurity</w:t>
            </w:r>
          </w:p>
        </w:tc>
        <w:tc>
          <w:tcPr>
            <w:tcW w:type="dxa" w:w="3135"/>
            <w:shd w:fill="F2F7FB"/>
          </w:tcPr>
          <w:p>
            <w:pPr>
              <w:spacing w:before="40" w:after="40"/>
            </w:pPr>
            <w:r>
              <w:rPr>
                <w:sz w:val="20"/>
              </w:rPr>
            </w:r>
            <w:r>
              <w:rPr>
                <w:sz w:val="20"/>
              </w:rPr>
              <w:t>CISA / CISSP / CISM or equivalent</w:t>
            </w:r>
          </w:p>
        </w:tc>
        <w:tc>
          <w:tcPr>
            <w:tcW w:type="dxa" w:w="3135"/>
            <w:shd w:fill="F2F7FB"/>
          </w:tcPr>
          <w:p>
            <w:pPr>
              <w:spacing w:before="40" w:after="40"/>
            </w:pPr>
            <w:r>
              <w:rPr>
                <w:sz w:val="20"/>
              </w:rPr>
            </w:r>
            <w:r>
              <w:rPr>
                <w:sz w:val="20"/>
              </w:rPr>
              <w:t>10+ years in cybersecurity governance</w:t>
            </w:r>
          </w:p>
        </w:tc>
      </w:tr>
      <w:tr>
        <w:tc>
          <w:tcPr>
            <w:tcW w:type="dxa" w:w="3135"/>
          </w:tcPr>
          <w:p>
            <w:pPr>
              <w:spacing w:before="40" w:after="40"/>
            </w:pPr>
            <w:r>
              <w:rPr>
                <w:sz w:val="20"/>
              </w:rPr>
            </w:r>
            <w:r>
              <w:rPr>
                <w:sz w:val="20"/>
              </w:rPr>
              <w:t>Digital Banking / FinTech</w:t>
            </w:r>
          </w:p>
        </w:tc>
        <w:tc>
          <w:tcPr>
            <w:tcW w:type="dxa" w:w="3135"/>
          </w:tcPr>
          <w:p>
            <w:pPr>
              <w:spacing w:before="40" w:after="40"/>
            </w:pPr>
            <w:r>
              <w:rPr>
                <w:sz w:val="20"/>
              </w:rPr>
            </w:r>
            <w:r>
              <w:rPr>
                <w:sz w:val="20"/>
              </w:rPr>
              <w:t>Certified Digital Banking Professional</w:t>
            </w:r>
          </w:p>
        </w:tc>
        <w:tc>
          <w:tcPr>
            <w:tcW w:type="dxa" w:w="3135"/>
          </w:tcPr>
          <w:p>
            <w:pPr>
              <w:spacing w:before="40" w:after="40"/>
            </w:pPr>
            <w:r>
              <w:rPr>
                <w:sz w:val="20"/>
              </w:rPr>
            </w:r>
            <w:r>
              <w:rPr>
                <w:sz w:val="20"/>
              </w:rPr>
              <w:t>12+ years in digital financial services</w:t>
            </w:r>
          </w:p>
        </w:tc>
      </w:tr>
      <w:tr>
        <w:tc>
          <w:tcPr>
            <w:tcW w:type="dxa" w:w="3135"/>
            <w:shd w:fill="F2F7FB"/>
          </w:tcPr>
          <w:p>
            <w:pPr>
              <w:spacing w:before="40" w:after="40"/>
            </w:pPr>
            <w:r>
              <w:rPr>
                <w:sz w:val="20"/>
              </w:rPr>
            </w:r>
            <w:r>
              <w:rPr>
                <w:sz w:val="20"/>
              </w:rPr>
              <w:t>IT Risk Management</w:t>
            </w:r>
          </w:p>
        </w:tc>
        <w:tc>
          <w:tcPr>
            <w:tcW w:type="dxa" w:w="3135"/>
            <w:shd w:fill="F2F7FB"/>
          </w:tcPr>
          <w:p>
            <w:pPr>
              <w:spacing w:before="40" w:after="40"/>
            </w:pPr>
            <w:r>
              <w:rPr>
                <w:sz w:val="20"/>
              </w:rPr>
            </w:r>
            <w:r>
              <w:rPr>
                <w:sz w:val="20"/>
              </w:rPr>
              <w:t>CRISC / CISA</w:t>
            </w:r>
          </w:p>
        </w:tc>
        <w:tc>
          <w:tcPr>
            <w:tcW w:type="dxa" w:w="3135"/>
            <w:shd w:fill="F2F7FB"/>
          </w:tcPr>
          <w:p>
            <w:pPr>
              <w:spacing w:before="40" w:after="40"/>
            </w:pPr>
            <w:r>
              <w:rPr>
                <w:sz w:val="20"/>
              </w:rPr>
            </w:r>
            <w:r>
              <w:rPr>
                <w:sz w:val="20"/>
              </w:rPr>
              <w:t>10+ years in IT/operational risk management</w:t>
            </w:r>
          </w:p>
        </w:tc>
      </w:tr>
      <w:tr>
        <w:tc>
          <w:tcPr>
            <w:tcW w:type="dxa" w:w="3135"/>
          </w:tcPr>
          <w:p>
            <w:pPr>
              <w:spacing w:before="40" w:after="40"/>
            </w:pPr>
            <w:r>
              <w:rPr>
                <w:sz w:val="20"/>
              </w:rPr>
            </w:r>
            <w:r>
              <w:rPr>
                <w:sz w:val="20"/>
              </w:rPr>
              <w:t>Data Privacy / Governance</w:t>
            </w:r>
          </w:p>
        </w:tc>
        <w:tc>
          <w:tcPr>
            <w:tcW w:type="dxa" w:w="3135"/>
          </w:tcPr>
          <w:p>
            <w:pPr>
              <w:spacing w:before="40" w:after="40"/>
            </w:pPr>
            <w:r>
              <w:rPr>
                <w:sz w:val="20"/>
              </w:rPr>
            </w:r>
            <w:r>
              <w:rPr>
                <w:sz w:val="20"/>
              </w:rPr>
              <w:t>CDPSE / CIPP</w:t>
            </w:r>
          </w:p>
        </w:tc>
        <w:tc>
          <w:tcPr>
            <w:tcW w:type="dxa" w:w="3135"/>
          </w:tcPr>
          <w:p>
            <w:pPr>
              <w:spacing w:before="40" w:after="40"/>
            </w:pPr>
            <w:r>
              <w:rPr>
                <w:sz w:val="20"/>
              </w:rPr>
            </w:r>
            <w:r>
              <w:rPr>
                <w:sz w:val="20"/>
              </w:rPr>
              <w:t>8+ years in data protection frameworks</w:t>
            </w:r>
          </w:p>
        </w:tc>
      </w:tr>
    </w:tbl>
    <w:p/>
    <w:p>
      <w:pPr>
        <w:spacing w:before="120" w:after="40"/>
      </w:pPr>
      <w:r>
        <w:rPr>
          <w:b/>
          <w:color w:val="4A90B0"/>
          <w:sz w:val="22"/>
        </w:rPr>
        <w:t>3.3 Declaration of Expertise</w:t>
      </w:r>
    </w:p>
    <w:p>
      <w:pPr>
        <w:spacing w:before="20" w:after="20"/>
      </w:pPr>
      <w:r>
        <w:rPr>
          <w:sz w:val="20"/>
        </w:rPr>
        <w:t xml:space="preserve">Every member nominated to the IT Strategy Committee shall submit a </w:t>
      </w:r>
      <w:r>
        <w:rPr>
          <w:b/>
          <w:sz w:val="20"/>
        </w:rPr>
        <w:t>Member Expertise Declaration Form</w:t>
      </w:r>
      <w:r>
        <w:rPr>
          <w:sz w:val="20"/>
        </w:rPr>
        <w:t xml:space="preserve"> (Annexure A) at the time of appointment and annually thereafter. The Company Secretary shall maintain a register of member expertise declarations and present the same to the Committee at the first meeting of each financial year.</w:t>
      </w:r>
    </w:p>
    <w:p>
      <w:pPr>
        <w:spacing w:before="160" w:after="60"/>
      </w:pPr>
      <w:r>
        <w:rPr>
          <w:b/>
          <w:color w:val="3A7CA5"/>
          <w:sz w:val="26"/>
        </w:rPr>
        <w:t>4. Tenure and Cessation</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Aspect</w:t>
            </w:r>
          </w:p>
        </w:tc>
        <w:tc>
          <w:tcPr>
            <w:tcW w:type="dxa" w:w="4703"/>
            <w:shd w:fill="1B3A5C"/>
          </w:tcPr>
          <w:p>
            <w:pPr>
              <w:spacing w:before="40" w:after="40"/>
            </w:pPr>
            <w:r>
              <w:rPr>
                <w:b/>
                <w:color w:val="FFFFFF"/>
                <w:sz w:val="20"/>
              </w:rPr>
            </w:r>
            <w:r>
              <w:rPr>
                <w:b/>
                <w:color w:val="FFFFFF"/>
                <w:sz w:val="20"/>
              </w:rPr>
              <w:t>Provision</w:t>
            </w:r>
          </w:p>
        </w:tc>
      </w:tr>
      <w:tr>
        <w:tc>
          <w:tcPr>
            <w:tcW w:type="dxa" w:w="4703"/>
          </w:tcPr>
          <w:p>
            <w:pPr>
              <w:spacing w:before="40" w:after="40"/>
            </w:pPr>
            <w:r>
              <w:rPr>
                <w:sz w:val="20"/>
              </w:rPr>
            </w:r>
            <w:r>
              <w:rPr>
                <w:sz w:val="20"/>
              </w:rPr>
              <w:t>Term of Appointment</w:t>
            </w:r>
          </w:p>
        </w:tc>
        <w:tc>
          <w:tcPr>
            <w:tcW w:type="dxa" w:w="4703"/>
          </w:tcPr>
          <w:p>
            <w:pPr>
              <w:spacing w:before="40" w:after="40"/>
            </w:pPr>
            <w:r>
              <w:rPr>
                <w:sz w:val="20"/>
              </w:rPr>
            </w:r>
            <w:r>
              <w:rPr>
                <w:sz w:val="20"/>
              </w:rPr>
              <w:t>3 years, renewable by Board resolution</w:t>
            </w:r>
          </w:p>
        </w:tc>
      </w:tr>
      <w:tr>
        <w:tc>
          <w:tcPr>
            <w:tcW w:type="dxa" w:w="4703"/>
            <w:shd w:fill="F2F7FB"/>
          </w:tcPr>
          <w:p>
            <w:pPr>
              <w:spacing w:before="40" w:after="40"/>
            </w:pPr>
            <w:r>
              <w:rPr>
                <w:sz w:val="20"/>
              </w:rPr>
            </w:r>
            <w:r>
              <w:rPr>
                <w:sz w:val="20"/>
              </w:rPr>
              <w:t>Maximum Continuous Tenure</w:t>
            </w:r>
          </w:p>
        </w:tc>
        <w:tc>
          <w:tcPr>
            <w:tcW w:type="dxa" w:w="4703"/>
            <w:shd w:fill="F2F7FB"/>
          </w:tcPr>
          <w:p>
            <w:pPr>
              <w:spacing w:before="40" w:after="40"/>
            </w:pPr>
            <w:r>
              <w:rPr>
                <w:sz w:val="20"/>
              </w:rPr>
            </w:r>
            <w:r>
              <w:rPr>
                <w:sz w:val="20"/>
              </w:rPr>
              <w:t>6 years (2 terms)</w:t>
            </w:r>
          </w:p>
        </w:tc>
      </w:tr>
      <w:tr>
        <w:tc>
          <w:tcPr>
            <w:tcW w:type="dxa" w:w="4703"/>
          </w:tcPr>
          <w:p>
            <w:pPr>
              <w:spacing w:before="40" w:after="40"/>
            </w:pPr>
            <w:r>
              <w:rPr>
                <w:sz w:val="20"/>
              </w:rPr>
            </w:r>
            <w:r>
              <w:rPr>
                <w:sz w:val="20"/>
              </w:rPr>
              <w:t>Resignation</w:t>
            </w:r>
          </w:p>
        </w:tc>
        <w:tc>
          <w:tcPr>
            <w:tcW w:type="dxa" w:w="4703"/>
          </w:tcPr>
          <w:p>
            <w:pPr>
              <w:spacing w:before="40" w:after="40"/>
            </w:pPr>
            <w:r>
              <w:rPr>
                <w:sz w:val="20"/>
              </w:rPr>
            </w:r>
            <w:r>
              <w:rPr>
                <w:sz w:val="20"/>
              </w:rPr>
              <w:t>Written notice to Chairman – ITSC and Company Secretary</w:t>
            </w:r>
          </w:p>
        </w:tc>
      </w:tr>
      <w:tr>
        <w:tc>
          <w:tcPr>
            <w:tcW w:type="dxa" w:w="4703"/>
            <w:shd w:fill="F2F7FB"/>
          </w:tcPr>
          <w:p>
            <w:pPr>
              <w:spacing w:before="40" w:after="40"/>
            </w:pPr>
            <w:r>
              <w:rPr>
                <w:sz w:val="20"/>
              </w:rPr>
            </w:r>
            <w:r>
              <w:rPr>
                <w:sz w:val="20"/>
              </w:rPr>
              <w:t>Removal</w:t>
            </w:r>
          </w:p>
        </w:tc>
        <w:tc>
          <w:tcPr>
            <w:tcW w:type="dxa" w:w="4703"/>
            <w:shd w:fill="F2F7FB"/>
          </w:tcPr>
          <w:p>
            <w:pPr>
              <w:spacing w:before="40" w:after="40"/>
            </w:pPr>
            <w:r>
              <w:rPr>
                <w:sz w:val="20"/>
              </w:rPr>
            </w:r>
            <w:r>
              <w:rPr>
                <w:sz w:val="20"/>
              </w:rPr>
              <w:t>By Board resolution for cause including non-attendance at 3 consecutive meetings</w:t>
            </w:r>
          </w:p>
        </w:tc>
      </w:tr>
      <w:tr>
        <w:tc>
          <w:tcPr>
            <w:tcW w:type="dxa" w:w="4703"/>
          </w:tcPr>
          <w:p>
            <w:pPr>
              <w:spacing w:before="40" w:after="40"/>
            </w:pPr>
            <w:r>
              <w:rPr>
                <w:sz w:val="20"/>
              </w:rPr>
            </w:r>
            <w:r>
              <w:rPr>
                <w:sz w:val="20"/>
              </w:rPr>
              <w:t>Automatic Cessation</w:t>
            </w:r>
          </w:p>
        </w:tc>
        <w:tc>
          <w:tcPr>
            <w:tcW w:type="dxa" w:w="4703"/>
          </w:tcPr>
          <w:p>
            <w:pPr>
              <w:spacing w:before="40" w:after="40"/>
            </w:pPr>
            <w:r>
              <w:rPr>
                <w:sz w:val="20"/>
              </w:rPr>
            </w:r>
            <w:r>
              <w:rPr>
                <w:sz w:val="20"/>
              </w:rPr>
              <w:t>Upon cessation as Director of the Bank</w:t>
            </w:r>
          </w:p>
        </w:tc>
      </w:tr>
    </w:tbl>
    <w:p/>
    <w:p>
      <w:pPr>
        <w:spacing w:before="160" w:after="60"/>
      </w:pPr>
      <w:r>
        <w:rPr>
          <w:b/>
          <w:color w:val="3A7CA5"/>
          <w:sz w:val="26"/>
        </w:rPr>
        <w:t>5. Meeting Frequency and Quorum</w:t>
      </w:r>
    </w:p>
    <w:p>
      <w:pPr>
        <w:spacing w:before="120" w:after="40"/>
      </w:pPr>
      <w:r>
        <w:rPr>
          <w:b/>
          <w:color w:val="4A90B0"/>
          <w:sz w:val="22"/>
        </w:rPr>
        <w:t>5.1 Meeting Schedule</w:t>
      </w:r>
    </w:p>
    <w:p>
      <w:pPr>
        <w:spacing w:before="20" w:after="20"/>
      </w:pPr>
      <w:r>
        <w:rPr>
          <w:sz w:val="20"/>
        </w:rPr>
        <w:t xml:space="preserve">The Committee shall meet at least </w:t>
      </w:r>
      <w:r>
        <w:rPr>
          <w:b/>
          <w:sz w:val="20"/>
        </w:rPr>
        <w:t>once every calendar quarter</w:t>
      </w:r>
      <w:r>
        <w:rPr>
          <w:sz w:val="20"/>
        </w:rPr>
        <w:t xml:space="preserve"> (4 meetings per financial year). The annual meeting calendar shall be approved by the Committee at the first meeting of the financial year.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Quarter</w:t>
            </w:r>
          </w:p>
        </w:tc>
        <w:tc>
          <w:tcPr>
            <w:tcW w:type="dxa" w:w="3135"/>
            <w:shd w:fill="1B3A5C"/>
          </w:tcPr>
          <w:p>
            <w:pPr>
              <w:spacing w:before="40" w:after="40"/>
            </w:pPr>
            <w:r>
              <w:rPr>
                <w:b/>
                <w:color w:val="FFFFFF"/>
                <w:sz w:val="20"/>
              </w:rPr>
            </w:r>
            <w:r>
              <w:rPr>
                <w:b/>
                <w:color w:val="FFFFFF"/>
                <w:sz w:val="20"/>
              </w:rPr>
              <w:t>Period</w:t>
            </w:r>
          </w:p>
        </w:tc>
        <w:tc>
          <w:tcPr>
            <w:tcW w:type="dxa" w:w="3135"/>
            <w:shd w:fill="1B3A5C"/>
          </w:tcPr>
          <w:p>
            <w:pPr>
              <w:spacing w:before="40" w:after="40"/>
            </w:pPr>
            <w:r>
              <w:rPr>
                <w:b/>
                <w:color w:val="FFFFFF"/>
                <w:sz w:val="20"/>
              </w:rPr>
            </w:r>
            <w:r>
              <w:rPr>
                <w:b/>
                <w:color w:val="FFFFFF"/>
                <w:sz w:val="20"/>
              </w:rPr>
              <w:t>Tentative Meeting Month</w:t>
            </w:r>
          </w:p>
        </w:tc>
      </w:tr>
      <w:tr>
        <w:tc>
          <w:tcPr>
            <w:tcW w:type="dxa" w:w="3135"/>
          </w:tcPr>
          <w:p>
            <w:pPr>
              <w:spacing w:before="40" w:after="40"/>
            </w:pPr>
            <w:r>
              <w:rPr>
                <w:sz w:val="20"/>
              </w:rPr>
            </w:r>
            <w:r>
              <w:rPr>
                <w:sz w:val="20"/>
              </w:rPr>
              <w:t>Q1</w:t>
            </w:r>
          </w:p>
        </w:tc>
        <w:tc>
          <w:tcPr>
            <w:tcW w:type="dxa" w:w="3135"/>
          </w:tcPr>
          <w:p>
            <w:pPr>
              <w:spacing w:before="40" w:after="40"/>
            </w:pPr>
            <w:r>
              <w:rPr>
                <w:sz w:val="20"/>
              </w:rPr>
            </w:r>
            <w:r>
              <w:rPr>
                <w:sz w:val="20"/>
              </w:rPr>
              <w:t>April – June</w:t>
            </w:r>
          </w:p>
        </w:tc>
        <w:tc>
          <w:tcPr>
            <w:tcW w:type="dxa" w:w="3135"/>
          </w:tcPr>
          <w:p>
            <w:pPr>
              <w:spacing w:before="40" w:after="40"/>
            </w:pPr>
            <w:r>
              <w:rPr>
                <w:sz w:val="20"/>
              </w:rPr>
            </w:r>
            <w:r>
              <w:rPr>
                <w:sz w:val="20"/>
              </w:rPr>
              <w:t>May</w:t>
            </w:r>
          </w:p>
        </w:tc>
      </w:tr>
      <w:tr>
        <w:tc>
          <w:tcPr>
            <w:tcW w:type="dxa" w:w="3135"/>
            <w:shd w:fill="F2F7FB"/>
          </w:tcPr>
          <w:p>
            <w:pPr>
              <w:spacing w:before="40" w:after="40"/>
            </w:pPr>
            <w:r>
              <w:rPr>
                <w:sz w:val="20"/>
              </w:rPr>
            </w:r>
            <w:r>
              <w:rPr>
                <w:sz w:val="20"/>
              </w:rPr>
              <w:t>Q2</w:t>
            </w:r>
          </w:p>
        </w:tc>
        <w:tc>
          <w:tcPr>
            <w:tcW w:type="dxa" w:w="3135"/>
            <w:shd w:fill="F2F7FB"/>
          </w:tcPr>
          <w:p>
            <w:pPr>
              <w:spacing w:before="40" w:after="40"/>
            </w:pPr>
            <w:r>
              <w:rPr>
                <w:sz w:val="20"/>
              </w:rPr>
            </w:r>
            <w:r>
              <w:rPr>
                <w:sz w:val="20"/>
              </w:rPr>
              <w:t>July – September</w:t>
            </w:r>
          </w:p>
        </w:tc>
        <w:tc>
          <w:tcPr>
            <w:tcW w:type="dxa" w:w="3135"/>
            <w:shd w:fill="F2F7FB"/>
          </w:tcPr>
          <w:p>
            <w:pPr>
              <w:spacing w:before="40" w:after="40"/>
            </w:pPr>
            <w:r>
              <w:rPr>
                <w:sz w:val="20"/>
              </w:rPr>
            </w:r>
            <w:r>
              <w:rPr>
                <w:sz w:val="20"/>
              </w:rPr>
              <w:t>August</w:t>
            </w:r>
          </w:p>
        </w:tc>
      </w:tr>
      <w:tr>
        <w:tc>
          <w:tcPr>
            <w:tcW w:type="dxa" w:w="3135"/>
          </w:tcPr>
          <w:p>
            <w:pPr>
              <w:spacing w:before="40" w:after="40"/>
            </w:pPr>
            <w:r>
              <w:rPr>
                <w:sz w:val="20"/>
              </w:rPr>
            </w:r>
            <w:r>
              <w:rPr>
                <w:sz w:val="20"/>
              </w:rPr>
              <w:t>Q3</w:t>
            </w:r>
          </w:p>
        </w:tc>
        <w:tc>
          <w:tcPr>
            <w:tcW w:type="dxa" w:w="3135"/>
          </w:tcPr>
          <w:p>
            <w:pPr>
              <w:spacing w:before="40" w:after="40"/>
            </w:pPr>
            <w:r>
              <w:rPr>
                <w:sz w:val="20"/>
              </w:rPr>
            </w:r>
            <w:r>
              <w:rPr>
                <w:sz w:val="20"/>
              </w:rPr>
              <w:t>October – December</w:t>
            </w:r>
          </w:p>
        </w:tc>
        <w:tc>
          <w:tcPr>
            <w:tcW w:type="dxa" w:w="3135"/>
          </w:tcPr>
          <w:p>
            <w:pPr>
              <w:spacing w:before="40" w:after="40"/>
            </w:pPr>
            <w:r>
              <w:rPr>
                <w:sz w:val="20"/>
              </w:rPr>
            </w:r>
            <w:r>
              <w:rPr>
                <w:sz w:val="20"/>
              </w:rPr>
              <w:t>November</w:t>
            </w:r>
          </w:p>
        </w:tc>
      </w:tr>
      <w:tr>
        <w:tc>
          <w:tcPr>
            <w:tcW w:type="dxa" w:w="3135"/>
            <w:shd w:fill="F2F7FB"/>
          </w:tcPr>
          <w:p>
            <w:pPr>
              <w:spacing w:before="40" w:after="40"/>
            </w:pPr>
            <w:r>
              <w:rPr>
                <w:sz w:val="20"/>
              </w:rPr>
            </w:r>
            <w:r>
              <w:rPr>
                <w:sz w:val="20"/>
              </w:rPr>
              <w:t>Q4</w:t>
            </w:r>
          </w:p>
        </w:tc>
        <w:tc>
          <w:tcPr>
            <w:tcW w:type="dxa" w:w="3135"/>
            <w:shd w:fill="F2F7FB"/>
          </w:tcPr>
          <w:p>
            <w:pPr>
              <w:spacing w:before="40" w:after="40"/>
            </w:pPr>
            <w:r>
              <w:rPr>
                <w:sz w:val="20"/>
              </w:rPr>
            </w:r>
            <w:r>
              <w:rPr>
                <w:sz w:val="20"/>
              </w:rPr>
              <w:t>January – March</w:t>
            </w:r>
          </w:p>
        </w:tc>
        <w:tc>
          <w:tcPr>
            <w:tcW w:type="dxa" w:w="3135"/>
            <w:shd w:fill="F2F7FB"/>
          </w:tcPr>
          <w:p>
            <w:pPr>
              <w:spacing w:before="40" w:after="40"/>
            </w:pPr>
            <w:r>
              <w:rPr>
                <w:sz w:val="20"/>
              </w:rPr>
            </w:r>
            <w:r>
              <w:rPr>
                <w:sz w:val="20"/>
              </w:rPr>
              <w:t>February</w:t>
            </w:r>
          </w:p>
        </w:tc>
      </w:tr>
    </w:tbl>
    <w:p/>
    <w:p>
      <w:pPr>
        <w:spacing w:before="20" w:after="20"/>
      </w:pPr>
      <w:r>
        <w:rPr>
          <w:sz w:val="20"/>
        </w:rPr>
        <w:t>Special meetings may be convened by the Chairman with 7 days' written notice in case of emergent strategic IT matters requiring Committee deliberation.</w:t>
      </w:r>
    </w:p>
    <w:p>
      <w:pPr>
        <w:spacing w:before="120" w:after="40"/>
      </w:pPr>
      <w:r>
        <w:rPr>
          <w:b/>
          <w:color w:val="4A90B0"/>
          <w:sz w:val="22"/>
        </w:rPr>
        <w:t>5.2 Quorum Requirements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Condition</w:t>
            </w:r>
          </w:p>
        </w:tc>
        <w:tc>
          <w:tcPr>
            <w:tcW w:type="dxa" w:w="4703"/>
            <w:shd w:fill="1B3A5C"/>
          </w:tcPr>
          <w:p>
            <w:pPr>
              <w:spacing w:before="40" w:after="40"/>
            </w:pPr>
            <w:r>
              <w:rPr>
                <w:b/>
                <w:color w:val="FFFFFF"/>
                <w:sz w:val="20"/>
              </w:rPr>
            </w:r>
            <w:r>
              <w:rPr>
                <w:b/>
                <w:color w:val="FFFFFF"/>
                <w:sz w:val="20"/>
              </w:rPr>
              <w:t>Requirement</w:t>
            </w:r>
          </w:p>
        </w:tc>
      </w:tr>
      <w:tr>
        <w:tc>
          <w:tcPr>
            <w:tcW w:type="dxa" w:w="4703"/>
          </w:tcPr>
          <w:p>
            <w:pPr>
              <w:spacing w:before="40" w:after="40"/>
            </w:pPr>
            <w:r>
              <w:rPr>
                <w:sz w:val="20"/>
              </w:rPr>
            </w:r>
            <w:r>
              <w:rPr>
                <w:sz w:val="20"/>
              </w:rPr>
              <w:t>General Quorum</w:t>
            </w:r>
          </w:p>
        </w:tc>
        <w:tc>
          <w:tcPr>
            <w:tcW w:type="dxa" w:w="4703"/>
          </w:tcPr>
          <w:p>
            <w:pPr>
              <w:spacing w:before="40" w:after="40"/>
            </w:pPr>
            <w:r>
              <w:rPr>
                <w:sz w:val="20"/>
              </w:rPr>
            </w:r>
            <w:r>
              <w:rPr>
                <w:sz w:val="20"/>
              </w:rPr>
              <w:t>50% of total members or 3 members, whichever is higher</w:t>
            </w:r>
          </w:p>
        </w:tc>
      </w:tr>
      <w:tr>
        <w:tc>
          <w:tcPr>
            <w:tcW w:type="dxa" w:w="4703"/>
            <w:shd w:fill="F2F7FB"/>
          </w:tcPr>
          <w:p>
            <w:pPr>
              <w:spacing w:before="40" w:after="40"/>
            </w:pPr>
            <w:r>
              <w:rPr>
                <w:sz w:val="20"/>
              </w:rPr>
            </w:r>
            <w:r>
              <w:rPr>
                <w:sz w:val="20"/>
              </w:rPr>
              <w:t>Minimum Director Presence</w:t>
            </w:r>
          </w:p>
        </w:tc>
        <w:tc>
          <w:tcPr>
            <w:tcW w:type="dxa" w:w="4703"/>
            <w:shd w:fill="F2F7FB"/>
          </w:tcPr>
          <w:p>
            <w:pPr>
              <w:spacing w:before="40" w:after="40"/>
            </w:pPr>
            <w:r>
              <w:rPr>
                <w:sz w:val="20"/>
              </w:rPr>
            </w:r>
            <w:r>
              <w:rPr>
                <w:sz w:val="20"/>
              </w:rPr>
              <w:t>At least 2 members must be Directors of the Bank</w:t>
            </w:r>
          </w:p>
        </w:tc>
      </w:tr>
      <w:tr>
        <w:tc>
          <w:tcPr>
            <w:tcW w:type="dxa" w:w="4703"/>
          </w:tcPr>
          <w:p>
            <w:pPr>
              <w:spacing w:before="40" w:after="40"/>
            </w:pPr>
            <w:r>
              <w:rPr>
                <w:sz w:val="20"/>
              </w:rPr>
            </w:r>
            <w:r>
              <w:rPr>
                <w:sz w:val="20"/>
              </w:rPr>
              <w:t>Expertise Quorum</w:t>
            </w:r>
          </w:p>
        </w:tc>
        <w:tc>
          <w:tcPr>
            <w:tcW w:type="dxa" w:w="4703"/>
          </w:tcPr>
          <w:p>
            <w:pPr>
              <w:spacing w:before="40" w:after="40"/>
            </w:pPr>
            <w:r>
              <w:rPr>
                <w:sz w:val="20"/>
              </w:rPr>
            </w:r>
            <w:r>
              <w:rPr>
                <w:sz w:val="20"/>
              </w:rPr>
              <w:t>At least 1 member possessing IT/cyber expertise must be present</w:t>
            </w:r>
          </w:p>
        </w:tc>
      </w:tr>
      <w:tr>
        <w:tc>
          <w:tcPr>
            <w:tcW w:type="dxa" w:w="4703"/>
            <w:shd w:fill="F2F7FB"/>
          </w:tcPr>
          <w:p>
            <w:pPr>
              <w:spacing w:before="40" w:after="40"/>
            </w:pPr>
            <w:r>
              <w:rPr>
                <w:sz w:val="20"/>
              </w:rPr>
            </w:r>
            <w:r>
              <w:rPr>
                <w:sz w:val="20"/>
              </w:rPr>
              <w:t>Virtual Participation</w:t>
            </w:r>
          </w:p>
        </w:tc>
        <w:tc>
          <w:tcPr>
            <w:tcW w:type="dxa" w:w="4703"/>
            <w:shd w:fill="F2F7FB"/>
          </w:tcPr>
          <w:p>
            <w:pPr>
              <w:spacing w:before="40" w:after="40"/>
            </w:pPr>
            <w:r>
              <w:rPr>
                <w:sz w:val="20"/>
              </w:rPr>
            </w:r>
            <w:r>
              <w:rPr>
                <w:sz w:val="20"/>
              </w:rPr>
              <w:t>Permitted as per Companies Act, 2013 and RBI guidelines</w:t>
            </w:r>
          </w:p>
        </w:tc>
      </w:tr>
      <w:tr>
        <w:tc>
          <w:tcPr>
            <w:tcW w:type="dxa" w:w="4703"/>
          </w:tcPr>
          <w:p>
            <w:pPr>
              <w:spacing w:before="40" w:after="40"/>
            </w:pPr>
            <w:r>
              <w:rPr>
                <w:sz w:val="20"/>
              </w:rPr>
            </w:r>
            <w:r>
              <w:rPr>
                <w:sz w:val="20"/>
              </w:rPr>
              <w:t>Adjournment due to lack of quorum</w:t>
            </w:r>
          </w:p>
        </w:tc>
        <w:tc>
          <w:tcPr>
            <w:tcW w:type="dxa" w:w="4703"/>
          </w:tcPr>
          <w:p>
            <w:pPr>
              <w:spacing w:before="40" w:after="40"/>
            </w:pPr>
            <w:r>
              <w:rPr>
                <w:sz w:val="20"/>
              </w:rPr>
            </w:r>
            <w:r>
              <w:rPr>
                <w:sz w:val="20"/>
              </w:rPr>
              <w:t>Meeting adjourned by 30 minutes; reconvened with available members</w:t>
            </w:r>
          </w:p>
        </w:tc>
      </w:tr>
    </w:tbl>
    <w:p/>
    <w:p>
      <w:pPr>
        <w:spacing w:before="160" w:after="60"/>
      </w:pPr>
      <w:r>
        <w:rPr>
          <w:b/>
          <w:color w:val="3A7CA5"/>
          <w:sz w:val="26"/>
        </w:rPr>
        <w:t>6. Roles and Responsibilities</w:t>
      </w:r>
    </w:p>
    <w:p>
      <w:pPr>
        <w:spacing w:before="120" w:after="40"/>
      </w:pPr>
      <w:r>
        <w:rPr>
          <w:b/>
          <w:color w:val="4A90B0"/>
          <w:sz w:val="22"/>
        </w:rPr>
        <w:t>6.1 Chairman of the Committee</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Responsibility</w:t>
            </w:r>
          </w:p>
        </w:tc>
        <w:tc>
          <w:tcPr>
            <w:tcW w:type="dxa" w:w="4703"/>
            <w:shd w:fill="1B3A5C"/>
          </w:tcPr>
          <w:p>
            <w:pPr>
              <w:spacing w:before="40" w:after="40"/>
            </w:pPr>
            <w:r>
              <w:rPr>
                <w:b/>
                <w:color w:val="FFFFFF"/>
                <w:sz w:val="20"/>
              </w:rPr>
            </w:r>
            <w:r>
              <w:rPr>
                <w:b/>
                <w:color w:val="FFFFFF"/>
                <w:sz w:val="20"/>
              </w:rPr>
              <w:t>Description</w:t>
            </w:r>
          </w:p>
        </w:tc>
      </w:tr>
      <w:tr>
        <w:tc>
          <w:tcPr>
            <w:tcW w:type="dxa" w:w="4703"/>
          </w:tcPr>
          <w:p>
            <w:pPr>
              <w:spacing w:before="40" w:after="40"/>
            </w:pPr>
            <w:r>
              <w:rPr>
                <w:sz w:val="20"/>
              </w:rPr>
            </w:r>
            <w:r>
              <w:rPr>
                <w:sz w:val="20"/>
              </w:rPr>
              <w:t>Leadership</w:t>
            </w:r>
          </w:p>
        </w:tc>
        <w:tc>
          <w:tcPr>
            <w:tcW w:type="dxa" w:w="4703"/>
          </w:tcPr>
          <w:p>
            <w:pPr>
              <w:spacing w:before="40" w:after="40"/>
            </w:pPr>
            <w:r>
              <w:rPr>
                <w:sz w:val="20"/>
              </w:rPr>
            </w:r>
            <w:r>
              <w:rPr>
                <w:sz w:val="20"/>
              </w:rPr>
              <w:t>Preside over meetings, set agenda, guide deliberations</w:t>
            </w:r>
          </w:p>
        </w:tc>
      </w:tr>
      <w:tr>
        <w:tc>
          <w:tcPr>
            <w:tcW w:type="dxa" w:w="4703"/>
            <w:shd w:fill="F2F7FB"/>
          </w:tcPr>
          <w:p>
            <w:pPr>
              <w:spacing w:before="40" w:after="40"/>
            </w:pPr>
            <w:r>
              <w:rPr>
                <w:sz w:val="20"/>
              </w:rPr>
            </w:r>
            <w:r>
              <w:rPr>
                <w:sz w:val="20"/>
              </w:rPr>
              <w:t>Strategic Direction</w:t>
            </w:r>
          </w:p>
        </w:tc>
        <w:tc>
          <w:tcPr>
            <w:tcW w:type="dxa" w:w="4703"/>
            <w:shd w:fill="F2F7FB"/>
          </w:tcPr>
          <w:p>
            <w:pPr>
              <w:spacing w:before="40" w:after="40"/>
            </w:pPr>
            <w:r>
              <w:rPr>
                <w:sz w:val="20"/>
              </w:rPr>
            </w:r>
            <w:r>
              <w:rPr>
                <w:sz w:val="20"/>
              </w:rPr>
              <w:t>Ensure alignment of IT strategy with business objectives</w:t>
            </w:r>
          </w:p>
        </w:tc>
      </w:tr>
      <w:tr>
        <w:tc>
          <w:tcPr>
            <w:tcW w:type="dxa" w:w="4703"/>
          </w:tcPr>
          <w:p>
            <w:pPr>
              <w:spacing w:before="40" w:after="40"/>
            </w:pPr>
            <w:r>
              <w:rPr>
                <w:sz w:val="20"/>
              </w:rPr>
            </w:r>
            <w:r>
              <w:rPr>
                <w:sz w:val="20"/>
              </w:rPr>
              <w:t>Reporting</w:t>
            </w:r>
          </w:p>
        </w:tc>
        <w:tc>
          <w:tcPr>
            <w:tcW w:type="dxa" w:w="4703"/>
          </w:tcPr>
          <w:p>
            <w:pPr>
              <w:spacing w:before="40" w:after="40"/>
            </w:pPr>
            <w:r>
              <w:rPr>
                <w:sz w:val="20"/>
              </w:rPr>
            </w:r>
            <w:r>
              <w:rPr>
                <w:sz w:val="20"/>
              </w:rPr>
              <w:t>Present Committee recommendations to the Board of Directors</w:t>
            </w:r>
          </w:p>
        </w:tc>
      </w:tr>
      <w:tr>
        <w:tc>
          <w:tcPr>
            <w:tcW w:type="dxa" w:w="4703"/>
            <w:shd w:fill="F2F7FB"/>
          </w:tcPr>
          <w:p>
            <w:pPr>
              <w:spacing w:before="40" w:after="40"/>
            </w:pPr>
            <w:r>
              <w:rPr>
                <w:sz w:val="20"/>
              </w:rPr>
            </w:r>
            <w:r>
              <w:rPr>
                <w:sz w:val="20"/>
              </w:rPr>
              <w:t>Emergency Authority</w:t>
            </w:r>
          </w:p>
        </w:tc>
        <w:tc>
          <w:tcPr>
            <w:tcW w:type="dxa" w:w="4703"/>
            <w:shd w:fill="F2F7FB"/>
          </w:tcPr>
          <w:p>
            <w:pPr>
              <w:spacing w:before="40" w:after="40"/>
            </w:pPr>
            <w:r>
              <w:rPr>
                <w:sz w:val="20"/>
              </w:rPr>
            </w:r>
            <w:r>
              <w:rPr>
                <w:sz w:val="20"/>
              </w:rPr>
              <w:t>Authorize urgent IT expenditures up to INR 5 Crore pending Committee ratification</w:t>
            </w:r>
          </w:p>
        </w:tc>
      </w:tr>
      <w:tr>
        <w:tc>
          <w:tcPr>
            <w:tcW w:type="dxa" w:w="4703"/>
          </w:tcPr>
          <w:p>
            <w:pPr>
              <w:spacing w:before="40" w:after="40"/>
            </w:pPr>
            <w:r>
              <w:rPr>
                <w:sz w:val="20"/>
              </w:rPr>
            </w:r>
            <w:r>
              <w:rPr>
                <w:sz w:val="20"/>
              </w:rPr>
              <w:t>Expertise Requirement</w:t>
            </w:r>
          </w:p>
        </w:tc>
        <w:tc>
          <w:tcPr>
            <w:tcW w:type="dxa" w:w="4703"/>
          </w:tcPr>
          <w:p>
            <w:pPr>
              <w:spacing w:before="40" w:after="40"/>
            </w:pPr>
            <w:r>
              <w:rPr>
                <w:sz w:val="20"/>
              </w:rPr>
            </w:r>
            <w:r>
              <w:rPr>
                <w:sz w:val="20"/>
              </w:rPr>
              <w:t>Chairperson shall possess IT/cyber expertise as defined in Section 3.2</w:t>
            </w:r>
          </w:p>
        </w:tc>
      </w:tr>
    </w:tbl>
    <w:p/>
    <w:p>
      <w:pPr>
        <w:spacing w:before="120" w:after="40"/>
      </w:pPr>
      <w:r>
        <w:rPr>
          <w:b/>
          <w:color w:val="4A90B0"/>
          <w:sz w:val="22"/>
        </w:rPr>
        <w:t>6.2 Committee Members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Responsibility</w:t>
            </w:r>
          </w:p>
        </w:tc>
        <w:tc>
          <w:tcPr>
            <w:tcW w:type="dxa" w:w="4703"/>
            <w:shd w:fill="1B3A5C"/>
          </w:tcPr>
          <w:p>
            <w:pPr>
              <w:spacing w:before="40" w:after="40"/>
            </w:pPr>
            <w:r>
              <w:rPr>
                <w:b/>
                <w:color w:val="FFFFFF"/>
                <w:sz w:val="20"/>
              </w:rPr>
            </w:r>
            <w:r>
              <w:rPr>
                <w:b/>
                <w:color w:val="FFFFFF"/>
                <w:sz w:val="20"/>
              </w:rPr>
              <w:t>Description</w:t>
            </w:r>
          </w:p>
        </w:tc>
      </w:tr>
      <w:tr>
        <w:tc>
          <w:tcPr>
            <w:tcW w:type="dxa" w:w="4703"/>
          </w:tcPr>
          <w:p>
            <w:pPr>
              <w:spacing w:before="40" w:after="40"/>
            </w:pPr>
            <w:r>
              <w:rPr>
                <w:sz w:val="20"/>
              </w:rPr>
            </w:r>
            <w:r>
              <w:rPr>
                <w:sz w:val="20"/>
              </w:rPr>
              <w:t>Fiduciary Duty</w:t>
            </w:r>
          </w:p>
        </w:tc>
        <w:tc>
          <w:tcPr>
            <w:tcW w:type="dxa" w:w="4703"/>
          </w:tcPr>
          <w:p>
            <w:pPr>
              <w:spacing w:before="40" w:after="40"/>
            </w:pPr>
            <w:r>
              <w:rPr>
                <w:sz w:val="20"/>
              </w:rPr>
            </w:r>
            <w:r>
              <w:rPr>
                <w:sz w:val="20"/>
              </w:rPr>
              <w:t>Act in the best interest of the Bank regarding IT governance</w:t>
            </w:r>
          </w:p>
        </w:tc>
      </w:tr>
      <w:tr>
        <w:tc>
          <w:tcPr>
            <w:tcW w:type="dxa" w:w="4703"/>
            <w:shd w:fill="F2F7FB"/>
          </w:tcPr>
          <w:p>
            <w:pPr>
              <w:spacing w:before="40" w:after="40"/>
            </w:pPr>
            <w:r>
              <w:rPr>
                <w:sz w:val="20"/>
              </w:rPr>
            </w:r>
            <w:r>
              <w:rPr>
                <w:sz w:val="20"/>
              </w:rPr>
              <w:t>Participation</w:t>
            </w:r>
          </w:p>
        </w:tc>
        <w:tc>
          <w:tcPr>
            <w:tcW w:type="dxa" w:w="4703"/>
            <w:shd w:fill="F2F7FB"/>
          </w:tcPr>
          <w:p>
            <w:pPr>
              <w:spacing w:before="40" w:after="40"/>
            </w:pPr>
            <w:r>
              <w:rPr>
                <w:sz w:val="20"/>
              </w:rPr>
            </w:r>
            <w:r>
              <w:rPr>
                <w:sz w:val="20"/>
              </w:rPr>
              <w:t>Attend scheduled meetings and contribute to deliberations</w:t>
            </w:r>
          </w:p>
        </w:tc>
      </w:tr>
      <w:tr>
        <w:tc>
          <w:tcPr>
            <w:tcW w:type="dxa" w:w="4703"/>
          </w:tcPr>
          <w:p>
            <w:pPr>
              <w:spacing w:before="40" w:after="40"/>
            </w:pPr>
            <w:r>
              <w:rPr>
                <w:sz w:val="20"/>
              </w:rPr>
            </w:r>
            <w:r>
              <w:rPr>
                <w:sz w:val="20"/>
              </w:rPr>
              <w:t>Review Obligation</w:t>
            </w:r>
          </w:p>
        </w:tc>
        <w:tc>
          <w:tcPr>
            <w:tcW w:type="dxa" w:w="4703"/>
          </w:tcPr>
          <w:p>
            <w:pPr>
              <w:spacing w:before="40" w:after="40"/>
            </w:pPr>
            <w:r>
              <w:rPr>
                <w:sz w:val="20"/>
              </w:rPr>
            </w:r>
            <w:r>
              <w:rPr>
                <w:sz w:val="20"/>
              </w:rPr>
              <w:t>Review IT strategy documents, risk reports, and cybersecurity assessments</w:t>
            </w:r>
          </w:p>
        </w:tc>
      </w:tr>
      <w:tr>
        <w:tc>
          <w:tcPr>
            <w:tcW w:type="dxa" w:w="4703"/>
            <w:shd w:fill="F2F7FB"/>
          </w:tcPr>
          <w:p>
            <w:pPr>
              <w:spacing w:before="40" w:after="40"/>
            </w:pPr>
            <w:r>
              <w:rPr>
                <w:sz w:val="20"/>
              </w:rPr>
            </w:r>
            <w:r>
              <w:rPr>
                <w:sz w:val="20"/>
              </w:rPr>
              <w:t>Independence</w:t>
            </w:r>
          </w:p>
        </w:tc>
        <w:tc>
          <w:tcPr>
            <w:tcW w:type="dxa" w:w="4703"/>
            <w:shd w:fill="F2F7FB"/>
          </w:tcPr>
          <w:p>
            <w:pPr>
              <w:spacing w:before="40" w:after="40"/>
            </w:pPr>
            <w:r>
              <w:rPr>
                <w:sz w:val="20"/>
              </w:rPr>
            </w:r>
            <w:r>
              <w:rPr>
                <w:sz w:val="20"/>
              </w:rPr>
              <w:t>Exercise independent judgment on IT investment and risk acceptance decisions</w:t>
            </w:r>
          </w:p>
        </w:tc>
      </w:tr>
    </w:tbl>
    <w:p/>
    <w:p>
      <w:pPr>
        <w:spacing w:before="120" w:after="40"/>
      </w:pPr>
      <w:r>
        <w:rPr>
          <w:b/>
          <w:color w:val="4A90B0"/>
          <w:sz w:val="22"/>
        </w:rPr>
        <w:t>6.3 Responsibilities of the Committee</w:t>
      </w:r>
    </w:p>
    <w:p>
      <w:pPr>
        <w:spacing w:before="20" w:after="20"/>
      </w:pPr>
      <w:r>
        <w:rPr>
          <w:sz w:val="20"/>
        </w:rPr>
        <w:t>The IT Strategy Committee shall exercise the following responsibilities:</w:t>
      </w:r>
    </w:p>
    <w:p>
      <w:pPr>
        <w:spacing w:before="120" w:after="40"/>
      </w:pPr>
      <w:r>
        <w:rPr>
          <w:b/>
          <w:color w:val="4A90B0"/>
          <w:sz w:val="22"/>
        </w:rPr>
        <w:t>Strategic Oversight:</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Area</w:t>
            </w:r>
          </w:p>
        </w:tc>
        <w:tc>
          <w:tcPr>
            <w:tcW w:type="dxa" w:w="4703"/>
            <w:shd w:fill="1B3A5C"/>
          </w:tcPr>
          <w:p>
            <w:pPr>
              <w:spacing w:before="40" w:after="40"/>
            </w:pPr>
            <w:r>
              <w:rPr>
                <w:b/>
                <w:color w:val="FFFFFF"/>
                <w:sz w:val="20"/>
              </w:rPr>
            </w:r>
            <w:r>
              <w:rPr>
                <w:b/>
                <w:color w:val="FFFFFF"/>
                <w:sz w:val="20"/>
              </w:rPr>
              <w:t>Specific Responsibility</w:t>
            </w:r>
          </w:p>
        </w:tc>
      </w:tr>
      <w:tr>
        <w:tc>
          <w:tcPr>
            <w:tcW w:type="dxa" w:w="4703"/>
          </w:tcPr>
          <w:p>
            <w:pPr>
              <w:spacing w:before="40" w:after="40"/>
            </w:pPr>
            <w:r>
              <w:rPr>
                <w:sz w:val="20"/>
              </w:rPr>
            </w:r>
            <w:r>
              <w:rPr>
                <w:sz w:val="20"/>
              </w:rPr>
              <w:t>IT Strategy Formulation</w:t>
            </w:r>
          </w:p>
        </w:tc>
        <w:tc>
          <w:tcPr>
            <w:tcW w:type="dxa" w:w="4703"/>
          </w:tcPr>
          <w:p>
            <w:pPr>
              <w:spacing w:before="40" w:after="40"/>
            </w:pPr>
            <w:r>
              <w:rPr>
                <w:sz w:val="20"/>
              </w:rPr>
            </w:r>
            <w:r>
              <w:rPr>
                <w:sz w:val="20"/>
              </w:rPr>
              <w:t>Review and recommend IT strategy aligned with business vision</w:t>
            </w:r>
          </w:p>
        </w:tc>
      </w:tr>
      <w:tr>
        <w:tc>
          <w:tcPr>
            <w:tcW w:type="dxa" w:w="4703"/>
            <w:shd w:fill="F2F7FB"/>
          </w:tcPr>
          <w:p>
            <w:pPr>
              <w:spacing w:before="40" w:after="40"/>
            </w:pPr>
            <w:r>
              <w:rPr>
                <w:sz w:val="20"/>
              </w:rPr>
            </w:r>
            <w:r>
              <w:rPr>
                <w:sz w:val="20"/>
              </w:rPr>
              <w:t>Digital Transformation</w:t>
            </w:r>
          </w:p>
        </w:tc>
        <w:tc>
          <w:tcPr>
            <w:tcW w:type="dxa" w:w="4703"/>
            <w:shd w:fill="F2F7FB"/>
          </w:tcPr>
          <w:p>
            <w:pPr>
              <w:spacing w:before="40" w:after="40"/>
            </w:pPr>
            <w:r>
              <w:rPr>
                <w:sz w:val="20"/>
              </w:rPr>
            </w:r>
            <w:r>
              <w:rPr>
                <w:sz w:val="20"/>
              </w:rPr>
              <w:t>Approve digital roadmaps and transformation initiatives</w:t>
            </w:r>
          </w:p>
        </w:tc>
      </w:tr>
      <w:tr>
        <w:tc>
          <w:tcPr>
            <w:tcW w:type="dxa" w:w="4703"/>
          </w:tcPr>
          <w:p>
            <w:pPr>
              <w:spacing w:before="40" w:after="40"/>
            </w:pPr>
            <w:r>
              <w:rPr>
                <w:sz w:val="20"/>
              </w:rPr>
            </w:r>
            <w:r>
              <w:rPr>
                <w:sz w:val="20"/>
              </w:rPr>
              <w:t>IT Investment Governance</w:t>
            </w:r>
          </w:p>
        </w:tc>
        <w:tc>
          <w:tcPr>
            <w:tcW w:type="dxa" w:w="4703"/>
          </w:tcPr>
          <w:p>
            <w:pPr>
              <w:spacing w:before="40" w:after="40"/>
            </w:pPr>
            <w:r>
              <w:rPr>
                <w:sz w:val="20"/>
              </w:rPr>
            </w:r>
            <w:r>
              <w:rPr>
                <w:sz w:val="20"/>
              </w:rPr>
              <w:t>Approve IT budgets exceeding INR 2 Crore</w:t>
            </w:r>
          </w:p>
        </w:tc>
      </w:tr>
      <w:tr>
        <w:tc>
          <w:tcPr>
            <w:tcW w:type="dxa" w:w="4703"/>
            <w:shd w:fill="F2F7FB"/>
          </w:tcPr>
          <w:p>
            <w:pPr>
              <w:spacing w:before="40" w:after="40"/>
            </w:pPr>
            <w:r>
              <w:rPr>
                <w:sz w:val="20"/>
              </w:rPr>
            </w:r>
            <w:r>
              <w:rPr>
                <w:sz w:val="20"/>
              </w:rPr>
              <w:t>Vendor Strategy</w:t>
            </w:r>
          </w:p>
        </w:tc>
        <w:tc>
          <w:tcPr>
            <w:tcW w:type="dxa" w:w="4703"/>
            <w:shd w:fill="F2F7FB"/>
          </w:tcPr>
          <w:p>
            <w:pPr>
              <w:spacing w:before="40" w:after="40"/>
            </w:pPr>
            <w:r>
              <w:rPr>
                <w:sz w:val="20"/>
              </w:rPr>
            </w:r>
            <w:r>
              <w:rPr>
                <w:sz w:val="20"/>
              </w:rPr>
              <w:t>Review strategic technology vendor relationships and outsourcing</w:t>
            </w:r>
          </w:p>
        </w:tc>
      </w:tr>
    </w:tbl>
    <w:p/>
    <w:p>
      <w:pPr>
        <w:spacing w:before="120" w:after="40"/>
      </w:pPr>
      <w:r>
        <w:rPr>
          <w:b/>
          <w:color w:val="4A90B0"/>
          <w:sz w:val="22"/>
        </w:rPr>
        <w:t>Risk and Compliance:</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Area</w:t>
            </w:r>
          </w:p>
        </w:tc>
        <w:tc>
          <w:tcPr>
            <w:tcW w:type="dxa" w:w="4703"/>
            <w:shd w:fill="1B3A5C"/>
          </w:tcPr>
          <w:p>
            <w:pPr>
              <w:spacing w:before="40" w:after="40"/>
            </w:pPr>
            <w:r>
              <w:rPr>
                <w:b/>
                <w:color w:val="FFFFFF"/>
                <w:sz w:val="20"/>
              </w:rPr>
            </w:r>
            <w:r>
              <w:rPr>
                <w:b/>
                <w:color w:val="FFFFFF"/>
                <w:sz w:val="20"/>
              </w:rPr>
              <w:t>Specific Responsibility</w:t>
            </w:r>
          </w:p>
        </w:tc>
      </w:tr>
      <w:tr>
        <w:tc>
          <w:tcPr>
            <w:tcW w:type="dxa" w:w="4703"/>
          </w:tcPr>
          <w:p>
            <w:pPr>
              <w:spacing w:before="40" w:after="40"/>
            </w:pPr>
            <w:r>
              <w:rPr>
                <w:sz w:val="20"/>
              </w:rPr>
            </w:r>
            <w:r>
              <w:rPr>
                <w:sz w:val="20"/>
              </w:rPr>
              <w:t>IT Risk Appetite</w:t>
            </w:r>
          </w:p>
        </w:tc>
        <w:tc>
          <w:tcPr>
            <w:tcW w:type="dxa" w:w="4703"/>
          </w:tcPr>
          <w:p>
            <w:pPr>
              <w:spacing w:before="40" w:after="40"/>
            </w:pPr>
            <w:r>
              <w:rPr>
                <w:sz w:val="20"/>
              </w:rPr>
            </w:r>
            <w:r>
              <w:rPr>
                <w:sz w:val="20"/>
              </w:rPr>
              <w:t>Define and review IT risk appetite framework</w:t>
            </w:r>
          </w:p>
        </w:tc>
      </w:tr>
      <w:tr>
        <w:tc>
          <w:tcPr>
            <w:tcW w:type="dxa" w:w="4703"/>
            <w:shd w:fill="F2F7FB"/>
          </w:tcPr>
          <w:p>
            <w:pPr>
              <w:spacing w:before="40" w:after="40"/>
            </w:pPr>
            <w:r>
              <w:rPr>
                <w:sz w:val="20"/>
              </w:rPr>
            </w:r>
            <w:r>
              <w:rPr>
                <w:sz w:val="20"/>
              </w:rPr>
              <w:t>Cybersecurity Oversight</w:t>
            </w:r>
          </w:p>
        </w:tc>
        <w:tc>
          <w:tcPr>
            <w:tcW w:type="dxa" w:w="4703"/>
            <w:shd w:fill="F2F7FB"/>
          </w:tcPr>
          <w:p>
            <w:pPr>
              <w:spacing w:before="40" w:after="40"/>
            </w:pPr>
            <w:r>
              <w:rPr>
                <w:sz w:val="20"/>
              </w:rPr>
            </w:r>
            <w:r>
              <w:rPr>
                <w:sz w:val="20"/>
              </w:rPr>
              <w:t>Review cybersecurity posture, incident response, and resilience testing</w:t>
            </w:r>
          </w:p>
        </w:tc>
      </w:tr>
      <w:tr>
        <w:tc>
          <w:tcPr>
            <w:tcW w:type="dxa" w:w="4703"/>
          </w:tcPr>
          <w:p>
            <w:pPr>
              <w:spacing w:before="40" w:after="40"/>
            </w:pPr>
            <w:r>
              <w:rPr>
                <w:sz w:val="20"/>
              </w:rPr>
            </w:r>
            <w:r>
              <w:rPr>
                <w:sz w:val="20"/>
              </w:rPr>
              <w:t>Regulatory Compliance</w:t>
            </w:r>
          </w:p>
        </w:tc>
        <w:tc>
          <w:tcPr>
            <w:tcW w:type="dxa" w:w="4703"/>
          </w:tcPr>
          <w:p>
            <w:pPr>
              <w:spacing w:before="40" w:after="40"/>
            </w:pPr>
            <w:r>
              <w:rPr>
                <w:sz w:val="20"/>
              </w:rPr>
            </w:r>
            <w:r>
              <w:rPr>
                <w:sz w:val="20"/>
              </w:rPr>
              <w:t>Ensure compliance with RBI IT governance and cyber resilience directions</w:t>
            </w:r>
          </w:p>
        </w:tc>
      </w:tr>
      <w:tr>
        <w:tc>
          <w:tcPr>
            <w:tcW w:type="dxa" w:w="4703"/>
            <w:shd w:fill="F2F7FB"/>
          </w:tcPr>
          <w:p>
            <w:pPr>
              <w:spacing w:before="40" w:after="40"/>
            </w:pPr>
            <w:r>
              <w:rPr>
                <w:sz w:val="20"/>
              </w:rPr>
            </w:r>
            <w:r>
              <w:rPr>
                <w:sz w:val="20"/>
              </w:rPr>
              <w:t>Business Continuity</w:t>
            </w:r>
          </w:p>
        </w:tc>
        <w:tc>
          <w:tcPr>
            <w:tcW w:type="dxa" w:w="4703"/>
            <w:shd w:fill="F2F7FB"/>
          </w:tcPr>
          <w:p>
            <w:pPr>
              <w:spacing w:before="40" w:after="40"/>
            </w:pPr>
            <w:r>
              <w:rPr>
                <w:sz w:val="20"/>
              </w:rPr>
            </w:r>
            <w:r>
              <w:rPr>
                <w:sz w:val="20"/>
              </w:rPr>
              <w:t>Review IT disaster recovery plans and BCP testing results</w:t>
            </w:r>
          </w:p>
        </w:tc>
      </w:tr>
    </w:tbl>
    <w:p/>
    <w:p>
      <w:pPr>
        <w:spacing w:before="120" w:after="40"/>
      </w:pPr>
      <w:r>
        <w:rPr>
          <w:b/>
          <w:color w:val="4A90B0"/>
          <w:sz w:val="22"/>
        </w:rPr>
        <w:t>Performance Monitoring:</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Area</w:t>
            </w:r>
          </w:p>
        </w:tc>
        <w:tc>
          <w:tcPr>
            <w:tcW w:type="dxa" w:w="4703"/>
            <w:shd w:fill="1B3A5C"/>
          </w:tcPr>
          <w:p>
            <w:pPr>
              <w:spacing w:before="40" w:after="40"/>
            </w:pPr>
            <w:r>
              <w:rPr>
                <w:b/>
                <w:color w:val="FFFFFF"/>
                <w:sz w:val="20"/>
              </w:rPr>
            </w:r>
            <w:r>
              <w:rPr>
                <w:b/>
                <w:color w:val="FFFFFF"/>
                <w:sz w:val="20"/>
              </w:rPr>
              <w:t>Specific Responsibility</w:t>
            </w:r>
          </w:p>
        </w:tc>
      </w:tr>
      <w:tr>
        <w:tc>
          <w:tcPr>
            <w:tcW w:type="dxa" w:w="4703"/>
          </w:tcPr>
          <w:p>
            <w:pPr>
              <w:spacing w:before="40" w:after="40"/>
            </w:pPr>
            <w:r>
              <w:rPr>
                <w:sz w:val="20"/>
              </w:rPr>
            </w:r>
            <w:r>
              <w:rPr>
                <w:sz w:val="20"/>
              </w:rPr>
              <w:t>IT Performance</w:t>
            </w:r>
          </w:p>
        </w:tc>
        <w:tc>
          <w:tcPr>
            <w:tcW w:type="dxa" w:w="4703"/>
          </w:tcPr>
          <w:p>
            <w:pPr>
              <w:spacing w:before="40" w:after="40"/>
            </w:pPr>
            <w:r>
              <w:rPr>
                <w:sz w:val="20"/>
              </w:rPr>
            </w:r>
            <w:r>
              <w:rPr>
                <w:sz w:val="20"/>
              </w:rPr>
              <w:t>Review IT balanced scorecard and KPIs</w:t>
            </w:r>
          </w:p>
        </w:tc>
      </w:tr>
      <w:tr>
        <w:tc>
          <w:tcPr>
            <w:tcW w:type="dxa" w:w="4703"/>
            <w:shd w:fill="F2F7FB"/>
          </w:tcPr>
          <w:p>
            <w:pPr>
              <w:spacing w:before="40" w:after="40"/>
            </w:pPr>
            <w:r>
              <w:rPr>
                <w:sz w:val="20"/>
              </w:rPr>
            </w:r>
            <w:r>
              <w:rPr>
                <w:sz w:val="20"/>
              </w:rPr>
              <w:t>Project Governance</w:t>
            </w:r>
          </w:p>
        </w:tc>
        <w:tc>
          <w:tcPr>
            <w:tcW w:type="dxa" w:w="4703"/>
            <w:shd w:fill="F2F7FB"/>
          </w:tcPr>
          <w:p>
            <w:pPr>
              <w:spacing w:before="40" w:after="40"/>
            </w:pPr>
            <w:r>
              <w:rPr>
                <w:sz w:val="20"/>
              </w:rPr>
            </w:r>
            <w:r>
              <w:rPr>
                <w:sz w:val="20"/>
              </w:rPr>
              <w:t>Oversee large IT projects (cost &gt; INR 10 Crore)</w:t>
            </w:r>
          </w:p>
        </w:tc>
      </w:tr>
      <w:tr>
        <w:tc>
          <w:tcPr>
            <w:tcW w:type="dxa" w:w="4703"/>
          </w:tcPr>
          <w:p>
            <w:pPr>
              <w:spacing w:before="40" w:after="40"/>
            </w:pPr>
            <w:r>
              <w:rPr>
                <w:sz w:val="20"/>
              </w:rPr>
            </w:r>
            <w:r>
              <w:rPr>
                <w:sz w:val="20"/>
              </w:rPr>
              <w:t>Audit Remediation</w:t>
            </w:r>
          </w:p>
        </w:tc>
        <w:tc>
          <w:tcPr>
            <w:tcW w:type="dxa" w:w="4703"/>
          </w:tcPr>
          <w:p>
            <w:pPr>
              <w:spacing w:before="40" w:after="40"/>
            </w:pPr>
            <w:r>
              <w:rPr>
                <w:sz w:val="20"/>
              </w:rPr>
            </w:r>
            <w:r>
              <w:rPr>
                <w:sz w:val="20"/>
              </w:rPr>
              <w:t>Monitor closure of IT audit observations</w:t>
            </w:r>
          </w:p>
        </w:tc>
      </w:tr>
    </w:tbl>
    <w:p/>
    <w:p>
      <w:pPr>
        <w:spacing w:before="160" w:after="60"/>
      </w:pPr>
      <w:r>
        <w:rPr>
          <w:b/>
          <w:color w:val="3A7CA5"/>
          <w:sz w:val="26"/>
        </w:rPr>
        <w:t>7. Meeting Procedures</w:t>
      </w:r>
    </w:p>
    <w:p>
      <w:pPr>
        <w:spacing w:before="120" w:after="40"/>
      </w:pPr>
      <w:r>
        <w:rPr>
          <w:b/>
          <w:color w:val="4A90B0"/>
          <w:sz w:val="22"/>
        </w:rPr>
        <w:t>7.1 Agenda</w:t>
      </w:r>
    </w:p>
    <w:p>
      <w:pPr>
        <w:spacing w:before="20" w:after="20"/>
      </w:pPr>
      <w:r>
        <w:rPr>
          <w:sz w:val="20"/>
        </w:rPr>
        <w:t xml:space="preserve">The agenda for each meeting shall be circulated by the Company Secretary at least </w:t>
      </w:r>
      <w:r>
        <w:rPr>
          <w:b/>
          <w:sz w:val="20"/>
        </w:rPr>
        <w:t>7 working days</w:t>
      </w:r>
      <w:r>
        <w:rPr>
          <w:sz w:val="20"/>
        </w:rPr>
        <w:t xml:space="preserve"> before the scheduled meeting. Any member may propose additional agenda items up to 3 working days before the meeting.</w:t>
      </w:r>
    </w:p>
    <w:p>
      <w:pPr>
        <w:spacing w:before="120" w:after="40"/>
      </w:pPr>
      <w:r>
        <w:rPr>
          <w:b/>
          <w:color w:val="4A90B0"/>
          <w:sz w:val="22"/>
        </w:rPr>
        <w:t>7.2 Mandatory Agenda Items (Quarterly)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Agenda Item</w:t>
            </w:r>
          </w:p>
        </w:tc>
        <w:tc>
          <w:tcPr>
            <w:tcW w:type="dxa" w:w="3135"/>
            <w:shd w:fill="1B3A5C"/>
          </w:tcPr>
          <w:p>
            <w:pPr>
              <w:spacing w:before="40" w:after="40"/>
            </w:pPr>
            <w:r>
              <w:rPr>
                <w:b/>
                <w:color w:val="FFFFFF"/>
                <w:sz w:val="20"/>
              </w:rPr>
            </w:r>
            <w:r>
              <w:rPr>
                <w:b/>
                <w:color w:val="FFFFFF"/>
                <w:sz w:val="20"/>
              </w:rPr>
              <w:t>Frequency</w:t>
            </w:r>
          </w:p>
        </w:tc>
        <w:tc>
          <w:tcPr>
            <w:tcW w:type="dxa" w:w="3135"/>
            <w:shd w:fill="1B3A5C"/>
          </w:tcPr>
          <w:p>
            <w:pPr>
              <w:spacing w:before="40" w:after="40"/>
            </w:pPr>
            <w:r>
              <w:rPr>
                <w:b/>
                <w:color w:val="FFFFFF"/>
                <w:sz w:val="20"/>
              </w:rPr>
            </w:r>
            <w:r>
              <w:rPr>
                <w:b/>
                <w:color w:val="FFFFFF"/>
                <w:sz w:val="20"/>
              </w:rPr>
              <w:t>Responsible</w:t>
            </w:r>
          </w:p>
        </w:tc>
      </w:tr>
      <w:tr>
        <w:tc>
          <w:tcPr>
            <w:tcW w:type="dxa" w:w="3135"/>
          </w:tcPr>
          <w:p>
            <w:pPr>
              <w:spacing w:before="40" w:after="40"/>
            </w:pPr>
            <w:r>
              <w:rPr>
                <w:sz w:val="20"/>
              </w:rPr>
            </w:r>
            <w:r>
              <w:rPr>
                <w:sz w:val="20"/>
              </w:rPr>
              <w:t>Review of previous meeting minutes</w:t>
            </w:r>
          </w:p>
        </w:tc>
        <w:tc>
          <w:tcPr>
            <w:tcW w:type="dxa" w:w="3135"/>
          </w:tcPr>
          <w:p>
            <w:pPr>
              <w:spacing w:before="40" w:after="40"/>
            </w:pPr>
            <w:r>
              <w:rPr>
                <w:sz w:val="20"/>
              </w:rPr>
            </w:r>
            <w:r>
              <w:rPr>
                <w:sz w:val="20"/>
              </w:rPr>
              <w:t>Each meeting</w:t>
            </w:r>
          </w:p>
        </w:tc>
        <w:tc>
          <w:tcPr>
            <w:tcW w:type="dxa" w:w="3135"/>
          </w:tcPr>
          <w:p>
            <w:pPr>
              <w:spacing w:before="40" w:after="40"/>
            </w:pPr>
            <w:r>
              <w:rPr>
                <w:sz w:val="20"/>
              </w:rPr>
            </w:r>
            <w:r>
              <w:rPr>
                <w:sz w:val="20"/>
              </w:rPr>
              <w:t>Company Secretary</w:t>
            </w:r>
          </w:p>
        </w:tc>
      </w:tr>
      <w:tr>
        <w:tc>
          <w:tcPr>
            <w:tcW w:type="dxa" w:w="3135"/>
            <w:shd w:fill="F2F7FB"/>
          </w:tcPr>
          <w:p>
            <w:pPr>
              <w:spacing w:before="40" w:after="40"/>
            </w:pPr>
            <w:r>
              <w:rPr>
                <w:sz w:val="20"/>
              </w:rPr>
            </w:r>
            <w:r>
              <w:rPr>
                <w:sz w:val="20"/>
              </w:rPr>
              <w:t>IT strategy implementation progress</w:t>
            </w:r>
          </w:p>
        </w:tc>
        <w:tc>
          <w:tcPr>
            <w:tcW w:type="dxa" w:w="3135"/>
            <w:shd w:fill="F2F7FB"/>
          </w:tcPr>
          <w:p>
            <w:pPr>
              <w:spacing w:before="40" w:after="40"/>
            </w:pPr>
            <w:r>
              <w:rPr>
                <w:sz w:val="20"/>
              </w:rPr>
            </w:r>
            <w:r>
              <w:rPr>
                <w:sz w:val="20"/>
              </w:rPr>
              <w:t>Quarterly</w:t>
            </w:r>
          </w:p>
        </w:tc>
        <w:tc>
          <w:tcPr>
            <w:tcW w:type="dxa" w:w="3135"/>
            <w:shd w:fill="F2F7FB"/>
          </w:tcPr>
          <w:p>
            <w:pPr>
              <w:spacing w:before="40" w:after="40"/>
            </w:pPr>
            <w:r>
              <w:rPr>
                <w:sz w:val="20"/>
              </w:rPr>
            </w:r>
            <w:r>
              <w:rPr>
                <w:sz w:val="20"/>
              </w:rPr>
              <w:t>CIO</w:t>
            </w:r>
          </w:p>
        </w:tc>
      </w:tr>
      <w:tr>
        <w:tc>
          <w:tcPr>
            <w:tcW w:type="dxa" w:w="3135"/>
          </w:tcPr>
          <w:p>
            <w:pPr>
              <w:spacing w:before="40" w:after="40"/>
            </w:pPr>
            <w:r>
              <w:rPr>
                <w:sz w:val="20"/>
              </w:rPr>
            </w:r>
            <w:r>
              <w:rPr>
                <w:sz w:val="20"/>
              </w:rPr>
              <w:t>Cybersecurity posture and incident report</w:t>
            </w:r>
          </w:p>
        </w:tc>
        <w:tc>
          <w:tcPr>
            <w:tcW w:type="dxa" w:w="3135"/>
          </w:tcPr>
          <w:p>
            <w:pPr>
              <w:spacing w:before="40" w:after="40"/>
            </w:pPr>
            <w:r>
              <w:rPr>
                <w:sz w:val="20"/>
              </w:rPr>
            </w:r>
            <w:r>
              <w:rPr>
                <w:sz w:val="20"/>
              </w:rPr>
              <w:t>Quarterly</w:t>
            </w:r>
          </w:p>
        </w:tc>
        <w:tc>
          <w:tcPr>
            <w:tcW w:type="dxa" w:w="3135"/>
          </w:tcPr>
          <w:p>
            <w:pPr>
              <w:spacing w:before="40" w:after="40"/>
            </w:pPr>
            <w:r>
              <w:rPr>
                <w:sz w:val="20"/>
              </w:rPr>
            </w:r>
            <w:r>
              <w:rPr>
                <w:sz w:val="20"/>
              </w:rPr>
              <w:t>CISO</w:t>
            </w:r>
          </w:p>
        </w:tc>
      </w:tr>
      <w:tr>
        <w:tc>
          <w:tcPr>
            <w:tcW w:type="dxa" w:w="3135"/>
            <w:shd w:fill="F2F7FB"/>
          </w:tcPr>
          <w:p>
            <w:pPr>
              <w:spacing w:before="40" w:after="40"/>
            </w:pPr>
            <w:r>
              <w:rPr>
                <w:sz w:val="20"/>
              </w:rPr>
            </w:r>
            <w:r>
              <w:rPr>
                <w:sz w:val="20"/>
              </w:rPr>
              <w:t>IT project portfolio status (Material projects)</w:t>
            </w:r>
          </w:p>
        </w:tc>
        <w:tc>
          <w:tcPr>
            <w:tcW w:type="dxa" w:w="3135"/>
            <w:shd w:fill="F2F7FB"/>
          </w:tcPr>
          <w:p>
            <w:pPr>
              <w:spacing w:before="40" w:after="40"/>
            </w:pPr>
            <w:r>
              <w:rPr>
                <w:sz w:val="20"/>
              </w:rPr>
            </w:r>
            <w:r>
              <w:rPr>
                <w:sz w:val="20"/>
              </w:rPr>
              <w:t>Quarterly</w:t>
            </w:r>
          </w:p>
        </w:tc>
        <w:tc>
          <w:tcPr>
            <w:tcW w:type="dxa" w:w="3135"/>
            <w:shd w:fill="F2F7FB"/>
          </w:tcPr>
          <w:p>
            <w:pPr>
              <w:spacing w:before="40" w:after="40"/>
            </w:pPr>
            <w:r>
              <w:rPr>
                <w:sz w:val="20"/>
              </w:rPr>
            </w:r>
            <w:r>
              <w:rPr>
                <w:sz w:val="20"/>
              </w:rPr>
              <w:t>Program Management Office</w:t>
            </w:r>
          </w:p>
        </w:tc>
      </w:tr>
      <w:tr>
        <w:tc>
          <w:tcPr>
            <w:tcW w:type="dxa" w:w="3135"/>
          </w:tcPr>
          <w:p>
            <w:pPr>
              <w:spacing w:before="40" w:after="40"/>
            </w:pPr>
            <w:r>
              <w:rPr>
                <w:sz w:val="20"/>
              </w:rPr>
            </w:r>
            <w:r>
              <w:rPr>
                <w:sz w:val="20"/>
              </w:rPr>
              <w:t>IT budget utilization and variance</w:t>
            </w:r>
          </w:p>
        </w:tc>
        <w:tc>
          <w:tcPr>
            <w:tcW w:type="dxa" w:w="3135"/>
          </w:tcPr>
          <w:p>
            <w:pPr>
              <w:spacing w:before="40" w:after="40"/>
            </w:pPr>
            <w:r>
              <w:rPr>
                <w:sz w:val="20"/>
              </w:rPr>
            </w:r>
            <w:r>
              <w:rPr>
                <w:sz w:val="20"/>
              </w:rPr>
              <w:t>Quarterly</w:t>
            </w:r>
          </w:p>
        </w:tc>
        <w:tc>
          <w:tcPr>
            <w:tcW w:type="dxa" w:w="3135"/>
          </w:tcPr>
          <w:p>
            <w:pPr>
              <w:spacing w:before="40" w:after="40"/>
            </w:pPr>
            <w:r>
              <w:rPr>
                <w:sz w:val="20"/>
              </w:rPr>
            </w:r>
            <w:r>
              <w:rPr>
                <w:sz w:val="20"/>
              </w:rPr>
              <w:t>CFO / CIO</w:t>
            </w:r>
          </w:p>
        </w:tc>
      </w:tr>
      <w:tr>
        <w:tc>
          <w:tcPr>
            <w:tcW w:type="dxa" w:w="3135"/>
            <w:shd w:fill="F2F7FB"/>
          </w:tcPr>
          <w:p>
            <w:pPr>
              <w:spacing w:before="40" w:after="40"/>
            </w:pPr>
            <w:r>
              <w:rPr>
                <w:sz w:val="20"/>
              </w:rPr>
            </w:r>
            <w:r>
              <w:rPr>
                <w:sz w:val="20"/>
              </w:rPr>
              <w:t>Regulatory compliance and audit status</w:t>
            </w:r>
          </w:p>
        </w:tc>
        <w:tc>
          <w:tcPr>
            <w:tcW w:type="dxa" w:w="3135"/>
            <w:shd w:fill="F2F7FB"/>
          </w:tcPr>
          <w:p>
            <w:pPr>
              <w:spacing w:before="40" w:after="40"/>
            </w:pPr>
            <w:r>
              <w:rPr>
                <w:sz w:val="20"/>
              </w:rPr>
            </w:r>
            <w:r>
              <w:rPr>
                <w:sz w:val="20"/>
              </w:rPr>
              <w:t>Quarterly</w:t>
            </w:r>
          </w:p>
        </w:tc>
        <w:tc>
          <w:tcPr>
            <w:tcW w:type="dxa" w:w="3135"/>
            <w:shd w:fill="F2F7FB"/>
          </w:tcPr>
          <w:p>
            <w:pPr>
              <w:spacing w:before="40" w:after="40"/>
            </w:pPr>
            <w:r>
              <w:rPr>
                <w:sz w:val="20"/>
              </w:rPr>
            </w:r>
            <w:r>
              <w:rPr>
                <w:sz w:val="20"/>
              </w:rPr>
              <w:t>Head – Compliance</w:t>
            </w:r>
          </w:p>
        </w:tc>
      </w:tr>
      <w:tr>
        <w:tc>
          <w:tcPr>
            <w:tcW w:type="dxa" w:w="3135"/>
          </w:tcPr>
          <w:p>
            <w:pPr>
              <w:spacing w:before="40" w:after="40"/>
            </w:pPr>
            <w:r>
              <w:rPr>
                <w:sz w:val="20"/>
              </w:rPr>
            </w:r>
            <w:r>
              <w:rPr>
                <w:sz w:val="20"/>
              </w:rPr>
              <w:t>IT risk register update</w:t>
            </w:r>
          </w:p>
        </w:tc>
        <w:tc>
          <w:tcPr>
            <w:tcW w:type="dxa" w:w="3135"/>
          </w:tcPr>
          <w:p>
            <w:pPr>
              <w:spacing w:before="40" w:after="40"/>
            </w:pPr>
            <w:r>
              <w:rPr>
                <w:sz w:val="20"/>
              </w:rPr>
            </w:r>
            <w:r>
              <w:rPr>
                <w:sz w:val="20"/>
              </w:rPr>
              <w:t>Quarterly</w:t>
            </w:r>
          </w:p>
        </w:tc>
        <w:tc>
          <w:tcPr>
            <w:tcW w:type="dxa" w:w="3135"/>
          </w:tcPr>
          <w:p>
            <w:pPr>
              <w:spacing w:before="40" w:after="40"/>
            </w:pPr>
            <w:r>
              <w:rPr>
                <w:sz w:val="20"/>
              </w:rPr>
            </w:r>
            <w:r>
              <w:rPr>
                <w:sz w:val="20"/>
              </w:rPr>
              <w:t>CRO</w:t>
            </w:r>
          </w:p>
        </w:tc>
      </w:tr>
      <w:tr>
        <w:tc>
          <w:tcPr>
            <w:tcW w:type="dxa" w:w="3135"/>
            <w:shd w:fill="F2F7FB"/>
          </w:tcPr>
          <w:p>
            <w:pPr>
              <w:spacing w:before="40" w:after="40"/>
            </w:pPr>
            <w:r>
              <w:rPr>
                <w:sz w:val="20"/>
              </w:rPr>
            </w:r>
            <w:r>
              <w:rPr>
                <w:sz w:val="20"/>
              </w:rPr>
              <w:t>Digital payment product performance</w:t>
            </w:r>
          </w:p>
        </w:tc>
        <w:tc>
          <w:tcPr>
            <w:tcW w:type="dxa" w:w="3135"/>
            <w:shd w:fill="F2F7FB"/>
          </w:tcPr>
          <w:p>
            <w:pPr>
              <w:spacing w:before="40" w:after="40"/>
            </w:pPr>
            <w:r>
              <w:rPr>
                <w:sz w:val="20"/>
              </w:rPr>
            </w:r>
            <w:r>
              <w:rPr>
                <w:sz w:val="20"/>
              </w:rPr>
              <w:t>Quarterly</w:t>
            </w:r>
          </w:p>
        </w:tc>
        <w:tc>
          <w:tcPr>
            <w:tcW w:type="dxa" w:w="3135"/>
            <w:shd w:fill="F2F7FB"/>
          </w:tcPr>
          <w:p>
            <w:pPr>
              <w:spacing w:before="40" w:after="40"/>
            </w:pPr>
            <w:r>
              <w:rPr>
                <w:sz w:val="20"/>
              </w:rPr>
            </w:r>
            <w:r>
              <w:rPr>
                <w:sz w:val="20"/>
              </w:rPr>
              <w:t>Head – Digital Banking</w:t>
            </w:r>
          </w:p>
        </w:tc>
      </w:tr>
    </w:tbl>
    <w:p/>
    <w:p>
      <w:pPr>
        <w:spacing w:before="120" w:after="40"/>
      </w:pPr>
      <w:r>
        <w:rPr>
          <w:b/>
          <w:color w:val="4A90B0"/>
          <w:sz w:val="22"/>
        </w:rPr>
        <w:t>7.3 Minutes</w:t>
      </w:r>
    </w:p>
    <w:p>
      <w:pPr>
        <w:spacing w:before="20" w:after="20"/>
      </w:pPr>
      <w:r>
        <w:rPr>
          <w:sz w:val="20"/>
        </w:rPr>
        <w:t xml:space="preserve">Minutes of each meeting shall be recorded by the Company Secretary and circulated to all members within </w:t>
      </w:r>
      <w:r>
        <w:rPr>
          <w:b/>
          <w:sz w:val="20"/>
        </w:rPr>
        <w:t>5 working days</w:t>
      </w:r>
      <w:r>
        <w:rPr>
          <w:sz w:val="20"/>
        </w:rPr>
        <w:t xml:space="preserve"> of the meeting. Minutes shall include:</w:t>
      </w:r>
    </w:p>
    <w:p>
      <w:pPr>
        <w:spacing w:before="20" w:after="20"/>
        <w:ind w:left="567"/>
      </w:pPr>
      <w:r>
        <w:rPr>
          <w:sz w:val="20"/>
        </w:rPr>
        <w:t xml:space="preserve">  </w:t>
      </w:r>
      <w:r>
        <w:rPr>
          <w:sz w:val="20"/>
        </w:rPr>
        <w:t>Date, time, and mode of meeting</w:t>
      </w:r>
    </w:p>
    <w:p>
      <w:pPr>
        <w:spacing w:before="20" w:after="20"/>
        <w:ind w:left="567"/>
      </w:pPr>
      <w:r>
        <w:rPr>
          <w:sz w:val="20"/>
        </w:rPr>
        <w:t xml:space="preserve">  </w:t>
      </w:r>
      <w:r>
        <w:rPr>
          <w:sz w:val="20"/>
        </w:rPr>
        <w:t>List of members present and absent (with reason for absence)</w:t>
      </w:r>
    </w:p>
    <w:p>
      <w:pPr>
        <w:spacing w:before="20" w:after="20"/>
        <w:ind w:left="567"/>
      </w:pPr>
      <w:r>
        <w:rPr>
          <w:sz w:val="20"/>
        </w:rPr>
        <w:t xml:space="preserve">  </w:t>
      </w:r>
      <w:r>
        <w:rPr>
          <w:sz w:val="20"/>
        </w:rPr>
        <w:t>Agenda items deliberated</w:t>
      </w:r>
    </w:p>
    <w:p>
      <w:pPr>
        <w:spacing w:before="20" w:after="20"/>
        <w:ind w:left="567"/>
      </w:pPr>
      <w:r>
        <w:rPr>
          <w:sz w:val="20"/>
        </w:rPr>
        <w:t xml:space="preserve">  </w:t>
      </w:r>
      <w:r>
        <w:rPr>
          <w:sz w:val="20"/>
        </w:rPr>
        <w:t>Decisions taken with voting details (if any)</w:t>
      </w:r>
    </w:p>
    <w:p>
      <w:pPr>
        <w:spacing w:before="20" w:after="20"/>
        <w:ind w:left="567"/>
      </w:pPr>
      <w:r>
        <w:rPr>
          <w:sz w:val="20"/>
        </w:rPr>
        <w:t xml:space="preserve">  </w:t>
      </w:r>
      <w:r>
        <w:rPr>
          <w:sz w:val="20"/>
        </w:rPr>
        <w:t>Action items with responsible person and target date</w:t>
      </w:r>
    </w:p>
    <w:p>
      <w:pPr>
        <w:spacing w:before="20" w:after="20"/>
        <w:ind w:left="567"/>
      </w:pPr>
      <w:r>
        <w:rPr>
          <w:sz w:val="20"/>
        </w:rPr>
        <w:t xml:space="preserve">  </w:t>
      </w:r>
      <w:r>
        <w:rPr>
          <w:sz w:val="20"/>
        </w:rPr>
        <w:t>Risk and issue log updates</w:t>
      </w:r>
    </w:p>
    <w:p>
      <w:pPr>
        <w:spacing w:before="20" w:after="20"/>
        <w:ind w:left="567"/>
      </w:pPr>
      <w:r>
        <w:rPr>
          <w:sz w:val="20"/>
        </w:rPr>
        <w:t xml:space="preserve">  </w:t>
      </w:r>
      <w:r>
        <w:rPr>
          <w:sz w:val="20"/>
        </w:rPr>
        <w:t>Dissenting opinions, if any</w:t>
      </w:r>
    </w:p>
    <w:p>
      <w:pPr>
        <w:spacing w:before="20" w:after="20"/>
      </w:pPr>
      <w:r>
        <w:rPr>
          <w:sz w:val="20"/>
        </w:rPr>
        <w:t>Minutes shall be confirmed at the subsequent meeting and signed by the Chairman.</w:t>
      </w:r>
    </w:p>
    <w:p>
      <w:pPr>
        <w:spacing w:before="120" w:after="40"/>
      </w:pPr>
      <w:r>
        <w:rPr>
          <w:b/>
          <w:color w:val="4A90B0"/>
          <w:sz w:val="22"/>
        </w:rPr>
        <w:t>7.4 Reporting to the Board</w:t>
      </w:r>
    </w:p>
    <w:p>
      <w:pPr>
        <w:spacing w:before="20" w:after="20"/>
      </w:pPr>
      <w:r>
        <w:rPr>
          <w:sz w:val="20"/>
        </w:rPr>
        <w:t>The Chairman shall present the minutes of the IT Strategy Committee along with a summary of key decisions and recommendations to the Board of Directors at the next Board meeting.</w:t>
      </w:r>
    </w:p>
    <w:p>
      <w:pPr>
        <w:spacing w:before="160" w:after="60"/>
      </w:pPr>
      <w:r>
        <w:rPr>
          <w:b/>
          <w:color w:val="3A7CA5"/>
          <w:sz w:val="26"/>
        </w:rPr>
        <w:t>8. Performance Evaluation</w:t>
      </w:r>
    </w:p>
    <w:p>
      <w:pPr>
        <w:spacing w:before="20" w:after="20"/>
      </w:pPr>
      <w:r>
        <w:rPr>
          <w:sz w:val="20"/>
        </w:rPr>
        <w:t>The Committee shall conduct a self-assessment annually to evaluate:</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Parameter</w:t>
            </w:r>
          </w:p>
        </w:tc>
        <w:tc>
          <w:tcPr>
            <w:tcW w:type="dxa" w:w="4703"/>
            <w:shd w:fill="1B3A5C"/>
          </w:tcPr>
          <w:p>
            <w:pPr>
              <w:spacing w:before="40" w:after="40"/>
            </w:pPr>
            <w:r>
              <w:rPr>
                <w:b/>
                <w:color w:val="FFFFFF"/>
                <w:sz w:val="20"/>
              </w:rPr>
            </w:r>
            <w:r>
              <w:rPr>
                <w:b/>
                <w:color w:val="FFFFFF"/>
                <w:sz w:val="20"/>
              </w:rPr>
              <w:t>Assessment Criteria</w:t>
            </w:r>
          </w:p>
        </w:tc>
      </w:tr>
      <w:tr>
        <w:tc>
          <w:tcPr>
            <w:tcW w:type="dxa" w:w="4703"/>
          </w:tcPr>
          <w:p>
            <w:pPr>
              <w:spacing w:before="40" w:after="40"/>
            </w:pPr>
            <w:r>
              <w:rPr>
                <w:sz w:val="20"/>
              </w:rPr>
            </w:r>
            <w:r>
              <w:rPr>
                <w:sz w:val="20"/>
              </w:rPr>
              <w:t>Meeting Effectiveness</w:t>
            </w:r>
          </w:p>
        </w:tc>
        <w:tc>
          <w:tcPr>
            <w:tcW w:type="dxa" w:w="4703"/>
          </w:tcPr>
          <w:p>
            <w:pPr>
              <w:spacing w:before="40" w:after="40"/>
            </w:pPr>
            <w:r>
              <w:rPr>
                <w:sz w:val="20"/>
              </w:rPr>
            </w:r>
            <w:r>
              <w:rPr>
                <w:sz w:val="20"/>
              </w:rPr>
              <w:t>Was quorum met? Were agenda items adequately discussed?</w:t>
            </w:r>
          </w:p>
        </w:tc>
      </w:tr>
      <w:tr>
        <w:tc>
          <w:tcPr>
            <w:tcW w:type="dxa" w:w="4703"/>
            <w:shd w:fill="F2F7FB"/>
          </w:tcPr>
          <w:p>
            <w:pPr>
              <w:spacing w:before="40" w:after="40"/>
            </w:pPr>
            <w:r>
              <w:rPr>
                <w:sz w:val="20"/>
              </w:rPr>
            </w:r>
            <w:r>
              <w:rPr>
                <w:sz w:val="20"/>
              </w:rPr>
              <w:t>Decision Quality</w:t>
            </w:r>
          </w:p>
        </w:tc>
        <w:tc>
          <w:tcPr>
            <w:tcW w:type="dxa" w:w="4703"/>
            <w:shd w:fill="F2F7FB"/>
          </w:tcPr>
          <w:p>
            <w:pPr>
              <w:spacing w:before="40" w:after="40"/>
            </w:pPr>
            <w:r>
              <w:rPr>
                <w:sz w:val="20"/>
              </w:rPr>
            </w:r>
            <w:r>
              <w:rPr>
                <w:sz w:val="20"/>
              </w:rPr>
              <w:t>Were decisions data-driven and timely?</w:t>
            </w:r>
          </w:p>
        </w:tc>
      </w:tr>
      <w:tr>
        <w:tc>
          <w:tcPr>
            <w:tcW w:type="dxa" w:w="4703"/>
          </w:tcPr>
          <w:p>
            <w:pPr>
              <w:spacing w:before="40" w:after="40"/>
            </w:pPr>
            <w:r>
              <w:rPr>
                <w:sz w:val="20"/>
              </w:rPr>
            </w:r>
            <w:r>
              <w:rPr>
                <w:sz w:val="20"/>
              </w:rPr>
              <w:t>Risk Coverage</w:t>
            </w:r>
          </w:p>
        </w:tc>
        <w:tc>
          <w:tcPr>
            <w:tcW w:type="dxa" w:w="4703"/>
          </w:tcPr>
          <w:p>
            <w:pPr>
              <w:spacing w:before="40" w:after="40"/>
            </w:pPr>
            <w:r>
              <w:rPr>
                <w:sz w:val="20"/>
              </w:rPr>
            </w:r>
            <w:r>
              <w:rPr>
                <w:sz w:val="20"/>
              </w:rPr>
              <w:t>Were all material IT risks identified and addressed?</w:t>
            </w:r>
          </w:p>
        </w:tc>
      </w:tr>
      <w:tr>
        <w:tc>
          <w:tcPr>
            <w:tcW w:type="dxa" w:w="4703"/>
            <w:shd w:fill="F2F7FB"/>
          </w:tcPr>
          <w:p>
            <w:pPr>
              <w:spacing w:before="40" w:after="40"/>
            </w:pPr>
            <w:r>
              <w:rPr>
                <w:sz w:val="20"/>
              </w:rPr>
            </w:r>
            <w:r>
              <w:rPr>
                <w:sz w:val="20"/>
              </w:rPr>
              <w:t>Expertise Adequacy</w:t>
            </w:r>
          </w:p>
        </w:tc>
        <w:tc>
          <w:tcPr>
            <w:tcW w:type="dxa" w:w="4703"/>
            <w:shd w:fill="F2F7FB"/>
          </w:tcPr>
          <w:p>
            <w:pPr>
              <w:spacing w:before="40" w:after="40"/>
            </w:pPr>
            <w:r>
              <w:rPr>
                <w:sz w:val="20"/>
              </w:rPr>
            </w:r>
            <w:r>
              <w:rPr>
                <w:sz w:val="20"/>
              </w:rPr>
              <w:t>Does the Committee possess the required expertise mix?</w:t>
            </w:r>
          </w:p>
        </w:tc>
      </w:tr>
      <w:tr>
        <w:tc>
          <w:tcPr>
            <w:tcW w:type="dxa" w:w="4703"/>
          </w:tcPr>
          <w:p>
            <w:pPr>
              <w:spacing w:before="40" w:after="40"/>
            </w:pPr>
            <w:r>
              <w:rPr>
                <w:sz w:val="20"/>
              </w:rPr>
            </w:r>
            <w:r>
              <w:rPr>
                <w:sz w:val="20"/>
              </w:rPr>
              <w:t>Regulatory Compliance</w:t>
            </w:r>
          </w:p>
        </w:tc>
        <w:tc>
          <w:tcPr>
            <w:tcW w:type="dxa" w:w="4703"/>
          </w:tcPr>
          <w:p>
            <w:pPr>
              <w:spacing w:before="40" w:after="40"/>
            </w:pPr>
            <w:r>
              <w:rPr>
                <w:sz w:val="20"/>
              </w:rPr>
            </w:r>
            <w:r>
              <w:rPr>
                <w:sz w:val="20"/>
              </w:rPr>
              <w:t>Were all regulatory reporting timelines met?</w:t>
            </w:r>
          </w:p>
        </w:tc>
      </w:tr>
    </w:tbl>
    <w:p/>
    <w:p>
      <w:pPr>
        <w:spacing w:before="160" w:after="60"/>
      </w:pPr>
      <w:r>
        <w:rPr>
          <w:b/>
          <w:color w:val="3A7CA5"/>
          <w:sz w:val="26"/>
        </w:rPr>
        <w:t>9. Review of Charter</w:t>
      </w:r>
    </w:p>
    <w:p>
      <w:pPr>
        <w:spacing w:before="20" w:after="20"/>
      </w:pPr>
      <w:r>
        <w:rPr>
          <w:sz w:val="20"/>
        </w:rPr>
        <w:t>This Charter shall be reviewed annually by the Committee and any proposed amendments shall be placed before the Board of Directors for approval.</w:t>
      </w:r>
    </w:p>
    <w:p>
      <w:pPr>
        <w:spacing w:before="160" w:after="60"/>
      </w:pPr>
      <w:r>
        <w:rPr>
          <w:b/>
          <w:color w:val="3A7CA5"/>
          <w:sz w:val="26"/>
        </w:rPr>
        <w:t>10. Annexure</w:t>
      </w:r>
    </w:p>
    <w:p>
      <w:pPr>
        <w:spacing w:before="120" w:after="40"/>
      </w:pPr>
      <w:r>
        <w:rPr>
          <w:b/>
          <w:color w:val="4A90B0"/>
          <w:sz w:val="22"/>
        </w:rPr>
        <w:t>Annexure A – Member Expertise Declaration Form</w:t>
      </w:r>
    </w:p>
    <w:p>
      <w:pPr>
        <w:spacing w:before="20" w:after="20"/>
      </w:pPr>
      <w:r>
        <w:rPr>
          <w:sz w:val="20"/>
        </w:rPr>
        <w:t>*(Refer to Document DI_01_07_Member_Expertise_Declaration_Form.docx)*</w:t>
      </w:r>
    </w:p>
    <w:p>
      <w:pPr>
        <w:spacing w:before="120" w:after="40"/>
      </w:pPr>
      <w:r>
        <w:rPr>
          <w:b/>
          <w:color w:val="4A90B0"/>
          <w:sz w:val="22"/>
        </w:rPr>
        <w:t>Annexure B – Annual Meeting Calendar Template</w:t>
      </w:r>
    </w:p>
    <w:p>
      <w:pPr>
        <w:spacing w:before="20" w:after="20"/>
      </w:pPr>
      <w:r>
        <w:rPr>
          <w:sz w:val="20"/>
        </w:rPr>
        <w:t>*(Refer to Document DI_01_02_Meeting_Calendar_FY2024_25.xlsx)*</w:t>
      </w:r>
    </w:p>
    <w:p>
      <w:pPr>
        <w:spacing w:before="120" w:after="40"/>
      </w:pPr>
      <w:r>
        <w:rPr>
          <w:b/>
          <w:color w:val="4A90B0"/>
          <w:sz w:val="22"/>
        </w:rPr>
        <w:t>Annexure C – IT Strategy Committee Minutes Template</w:t>
      </w:r>
    </w:p>
    <w:p>
      <w:pPr>
        <w:spacing w:before="20" w:after="20"/>
      </w:pPr>
      <w:r>
        <w:rPr>
          <w:sz w:val="20"/>
        </w:rPr>
        <w:t>*(Refer to Document DI_01_04_Sample_ITSC_Minutes_with_Gap.docx)*</w:t>
      </w:r>
    </w:p>
    <w:p>
      <w:pPr>
        <w:spacing w:before="120" w:after="40"/>
      </w:pPr>
      <w:r>
        <w:rPr>
          <w:b/>
          <w:color w:val="4A90B0"/>
          <w:sz w:val="22"/>
        </w:rPr>
        <w:t>END OF DOCUMENT</w:t>
      </w:r>
    </w:p>
    <w:p>
      <w:pPr>
        <w:spacing w:before="20" w:after="20"/>
      </w:pPr>
      <w:r>
        <w:rPr>
          <w:sz w:val="20"/>
        </w:rPr>
        <w:t>*This document is the property of Bharat Mercantile Bank Limited and shall not be reproduced, distributed, or disclosed to any third party without the prior written consent of the Board of Directors.*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