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IT Steering Committee – Standard Operating Procedure (SOP)</w:t>
      </w:r>
    </w:p>
    <w:p>
      <w:pPr>
        <w:spacing w:before="20" w:after="20"/>
      </w:pPr>
      <w:r>
        <w:rPr>
          <w:b/>
          <w:sz w:val="20"/>
        </w:rPr>
        <w:t>Document Reference:</w:t>
      </w:r>
      <w:r>
        <w:rPr>
          <w:sz w:val="20"/>
        </w:rPr>
        <w:t xml:space="preserve"> BMBL/ITGC/SOP/ITSC/003</w:t>
      </w:r>
    </w:p>
    <w:p>
      <w:pPr>
        <w:spacing w:before="20" w:after="20"/>
      </w:pPr>
      <w:r>
        <w:rPr>
          <w:b/>
          <w:sz w:val="20"/>
        </w:rPr>
        <w:t>Version:</w:t>
      </w:r>
      <w:r>
        <w:rPr>
          <w:sz w:val="20"/>
        </w:rPr>
        <w:t xml:space="preserve"> 1.2</w:t>
      </w:r>
    </w:p>
    <w:p>
      <w:pPr>
        <w:spacing w:before="20" w:after="20"/>
      </w:pPr>
      <w:r>
        <w:rPr>
          <w:b/>
          <w:sz w:val="20"/>
        </w:rPr>
        <w:t>Effective Date:</w:t>
      </w:r>
      <w:r>
        <w:rPr>
          <w:sz w:val="20"/>
        </w:rPr>
        <w:t xml:space="preserve"> 01 June 2024</w:t>
      </w:r>
    </w:p>
    <w:p>
      <w:pPr>
        <w:spacing w:before="20" w:after="20"/>
      </w:pPr>
      <w:r>
        <w:rPr>
          <w:b/>
          <w:sz w:val="20"/>
        </w:rPr>
        <w:t>Review Cycle:</w:t>
      </w:r>
      <w:r>
        <w:rPr>
          <w:sz w:val="20"/>
        </w:rPr>
        <w:t xml:space="preserve"> Semi-Annual</w:t>
      </w:r>
    </w:p>
    <w:p>
      <w:pPr>
        <w:spacing w:before="20" w:after="20"/>
      </w:pPr>
      <w:r>
        <w:rPr>
          <w:b/>
          <w:sz w:val="20"/>
        </w:rPr>
        <w:t>Owner:</w:t>
      </w:r>
      <w:r>
        <w:rPr>
          <w:sz w:val="20"/>
        </w:rPr>
        <w:t xml:space="preserve"> Chief Information Officer</w:t>
      </w:r>
    </w:p>
    <w:p>
      <w:pPr>
        <w:spacing w:before="20" w:after="20"/>
      </w:pPr>
      <w:r>
        <w:rPr>
          <w:b/>
          <w:sz w:val="20"/>
        </w:rPr>
        <w:t>Approved By:</w:t>
      </w:r>
      <w:r>
        <w:rPr>
          <w:sz w:val="20"/>
        </w:rPr>
        <w:t xml:space="preserve"> IT Strategy Committee – Resolution No. ITSC/2024/015</w:t>
      </w:r>
    </w:p>
    <w:p>
      <w:pPr>
        <w:spacing w:before="160" w:after="60"/>
      </w:pPr>
      <w:r>
        <w:rPr>
          <w:b/>
          <w:color w:val="3A7CA5"/>
          <w:sz w:val="26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 Jan 2024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Cell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SOP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 Mar 2024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PMO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Updated project risk tracking thresholds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 May 2024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Added benefit realisation tracking per RBI guideline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1. Purpose and Scope</w:t>
      </w:r>
    </w:p>
    <w:p>
      <w:pPr>
        <w:spacing w:before="20" w:after="20"/>
      </w:pPr>
      <w:r>
        <w:rPr>
          <w:sz w:val="20"/>
        </w:rPr>
        <w:t xml:space="preserve">This Standard Operating Procedure (SOP) defines the operational framework, meeting protocols, project governance mechanisms, and reporting standards for the </w:t>
      </w:r>
      <w:r>
        <w:rPr>
          <w:b/>
          <w:sz w:val="20"/>
        </w:rPr>
        <w:t>IT Steering Committee (ITSC)</w:t>
      </w:r>
      <w:r>
        <w:rPr>
          <w:sz w:val="20"/>
        </w:rPr>
        <w:t xml:space="preserve"> of Bharat Mercantile Bank Limited. The SOP governs all material IT projects, including new product development, infrastructure upgrades, digital platform implementations, and regulatory technology initiatives.</w:t>
      </w:r>
    </w:p>
    <w:p>
      <w:pPr>
        <w:spacing w:before="20" w:after="20"/>
      </w:pPr>
      <w:r>
        <w:rPr>
          <w:b/>
          <w:sz w:val="20"/>
        </w:rPr>
        <w:t>Scope:</w:t>
      </w:r>
      <w:r>
        <w:rPr>
          <w:sz w:val="20"/>
        </w:rPr>
        <w:t xml:space="preserve"> All IT projects with: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Budget exceeding INR 2 Crore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Timeline exceeding 6 months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Critical business impact rating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Regulatory compliance dependencies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Third-party/vendor-led implementations</w:t>
      </w:r>
    </w:p>
    <w:p>
      <w:pPr>
        <w:spacing w:before="160" w:after="60"/>
      </w:pPr>
      <w:r>
        <w:rPr>
          <w:b/>
          <w:color w:val="3A7CA5"/>
          <w:sz w:val="26"/>
        </w:rPr>
        <w:t>2. Committee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Designation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Chairman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Preside over meetings, ensure agenda coverage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Financial Officer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approval, cost-benefit analysis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Risk Officer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assessment, mitigation oversight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– Digital Banking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Digital product oversight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– Operations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Operational impact assessment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– Compliance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Regulatory compliance verification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Invitee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Managers (as applicable)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status presentation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Invitee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Representatives (as applicable)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input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Secretary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PMO Lead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Minutes, action tracking, documentation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 Meeting Governance</w:t>
      </w:r>
    </w:p>
    <w:p>
      <w:pPr>
        <w:spacing w:before="120" w:after="40"/>
      </w:pPr>
      <w:r>
        <w:rPr>
          <w:b/>
          <w:color w:val="4A90B0"/>
          <w:sz w:val="22"/>
        </w:rPr>
        <w:t>3.1 Meeting Frequency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Meeting Type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Regular Review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90 minutes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Ongoing project portfolio review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Milestone Review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required per project plan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 minutes per project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Stage-gate approvals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Meeting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On-demand (24 hr notice)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required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 issues, breaches, escalations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Deep-Dive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Half-day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alignment &amp; benefit realisation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3.2 Quorum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Minimum Members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 of 6 members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Mandatory Attendees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 and CRO (or authorised representatives)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Project-Specific Quorum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Sponsor and Project Manager for relevant agenda item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Decision Validity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Unanimity for high-risk decisions; majority for routine decisions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3.3 Agenda and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Agenda Circulation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 working days before meeting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PMO Lead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Additional Agenda Items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 working days before meeting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Any member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Minutes Circulation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 working days after meeting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PMO Lead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Action Item Status Update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7 days of target date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Respective owner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Minutes Archival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Within 10 days of meeting (e-signature)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PMO Lead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 Project Risk Tracking Framework</w:t>
      </w:r>
    </w:p>
    <w:p>
      <w:pPr>
        <w:spacing w:before="120" w:after="40"/>
      </w:pPr>
      <w:r>
        <w:rPr>
          <w:b/>
          <w:color w:val="4A90B0"/>
          <w:sz w:val="22"/>
        </w:rPr>
        <w:t>4.1 Risk Classification</w:t>
      </w:r>
    </w:p>
    <w:p>
      <w:pPr>
        <w:spacing w:before="20" w:after="20"/>
      </w:pPr>
      <w:r>
        <w:rPr>
          <w:sz w:val="20"/>
        </w:rPr>
        <w:t xml:space="preserve">Every material IT project shall maintain a </w:t>
      </w:r>
      <w:r>
        <w:rPr>
          <w:b/>
          <w:sz w:val="20"/>
        </w:rPr>
        <w:t>Project Risk Register</w:t>
      </w:r>
      <w:r>
        <w:rPr>
          <w:sz w:val="20"/>
        </w:rPr>
        <w:t xml:space="preserve"> classified under the following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Technology Risk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Platform obsolescence, integration failure, scalability issues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Operational Risk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20%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Process disruption, change management failure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Risk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insolvency, SLA breach, IP disputes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Regulatory Risk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15%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Non-compliance with RBI directives, data localisation issues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Cyber Risk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breach, unauthorised access, ransomware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Resource Risk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10%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Key personnel attrition, skill gaps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4.2 Risk Scoring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Very 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Negligible impact, rare probability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Monitor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Minor impact, unlikely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Include in project risk log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Moderate impact, possible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Mitigation plan required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Major impact, likely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Escalate to ITSC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Severe impact, almost certain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Escalate to IT Strategy Committee / Board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4.3 Risk Dashboard Reporting</w:t>
      </w:r>
    </w:p>
    <w:p>
      <w:pPr>
        <w:spacing w:before="20" w:after="20"/>
      </w:pPr>
      <w:r>
        <w:rPr>
          <w:sz w:val="20"/>
        </w:rPr>
        <w:t xml:space="preserve">Each ITSC meeting shall include a </w:t>
      </w:r>
      <w:r>
        <w:rPr>
          <w:b/>
          <w:sz w:val="20"/>
        </w:rPr>
        <w:t>Project Risk Dashboard</w:t>
      </w:r>
      <w:r>
        <w:rPr>
          <w:sz w:val="20"/>
        </w:rPr>
        <w:t xml:space="preserve"> with: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 Point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Update Frequency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Current risk score (RAG)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Red / Amber / Green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trend (last 3 periods)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Improving / Stable / Deteriorating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Top 5 risks by project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Narrative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mitigation status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% complete vs target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Escalated risks &amp; resolution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Tracker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Every meeting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RAG Thresholds: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Green:</w:t>
      </w:r>
      <w:r>
        <w:rPr>
          <w:sz w:val="20"/>
        </w:rPr>
        <w:t xml:space="preserve"> Average risk score ≤ 2.0, no score &gt; 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Amber:</w:t>
      </w:r>
      <w:r>
        <w:rPr>
          <w:sz w:val="20"/>
        </w:rPr>
        <w:t xml:space="preserve"> Average risk score 2.1 – 3.5, or any single score = 4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Red:</w:t>
      </w:r>
      <w:r>
        <w:rPr>
          <w:sz w:val="20"/>
        </w:rPr>
        <w:t xml:space="preserve"> Average risk score &gt; 3.5, or any single score = 5</w:t>
      </w:r>
    </w:p>
    <w:p>
      <w:pPr>
        <w:spacing w:before="160" w:after="60"/>
      </w:pPr>
      <w:r>
        <w:rPr>
          <w:b/>
          <w:color w:val="3A7CA5"/>
          <w:sz w:val="26"/>
        </w:rPr>
        <w:t>5. Budget Variance Tracking</w:t>
      </w:r>
    </w:p>
    <w:p>
      <w:pPr>
        <w:spacing w:before="120" w:after="40"/>
      </w:pPr>
      <w:r>
        <w:rPr>
          <w:b/>
          <w:color w:val="4A90B0"/>
          <w:sz w:val="22"/>
        </w:rPr>
        <w:t>5.1 Budget Categorisation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Budget Head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Variance Tolerance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Capital Expenditure (CapEx)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Hardware, software licenses, IP acquisition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+/- 10%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Operational Expenditure (OpEx)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Cloud services, AMC, consulting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+/- 15%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Resource Cost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staffing, contractors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+/- 10%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Contingency Reserve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Unforeseen expenses (5% of total budget)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+/- 20% of contingency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Requests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Scope changes approved by ITSC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approved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5.2 Variance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Variance %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0% – 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action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5% – 10%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Watch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Explanation in minutes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10% – 15%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Alert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Recovery plan required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15%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 ITSC review, project review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5.3 Budget Reporting Format</w:t>
      </w:r>
    </w:p>
    <w:p>
      <w:pPr>
        <w:spacing w:before="20" w:after="20"/>
      </w:pPr>
      <w:r>
        <w:rPr>
          <w:sz w:val="20"/>
        </w:rPr>
        <w:t>For each material IT project, the following budget information shall be presented: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Name &amp;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Original Budget (INR)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budget at project initiation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Revised Budget (INR)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Post-change-request budget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Cumulative Actual Spend (INR)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Actual expenditure till reporting date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Cumulative Committed Spend (INR)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 raised but not yet invoiced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Forecast Spend at Completion (INR)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Estimated total spend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Variance (%)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(Forecast - Revised Budget) / Revised Budget * 100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Status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 / Watch / Alert / Critical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6. Benefit Realisation Framework</w:t>
      </w:r>
    </w:p>
    <w:p>
      <w:pPr>
        <w:spacing w:before="120" w:after="40"/>
      </w:pPr>
      <w:r>
        <w:rPr>
          <w:b/>
          <w:color w:val="4A90B0"/>
          <w:sz w:val="22"/>
        </w:rPr>
        <w:t>6.1 Benefit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Benefit Type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Period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Financial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Cost reduction, revenue increase, ROI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Operational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Process efficiency, error reduction, SLA improvement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Market share, customer satisfaction, regulatory compliance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Technology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 uptime, scalability, data quality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6.2 Benefit Realisation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Pre-Initiation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Define expected benefits in business case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Benefits Realisation Plan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During Project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Track leading indicators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Benefits Tracking Dashboard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At Closure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Validate benefits achieved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Benefits Realisation Report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Post-Closure (6-12 months)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Sustainment review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Post-Implementation Review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6.3 Benefit Realisation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Tracking Period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ROI (Net Benefits / Total Cost)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20%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CFO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Cost Savings (INR)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approved in business case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Efficiency Gain (FTE hours saved)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approved in business case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Operations Head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Customer Adoption Rate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approved in business case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Digital Banking Head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Error Rate Reduction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50% from baseline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Quality Assurance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7. Project Reporting Requirements</w:t>
      </w:r>
    </w:p>
    <w:p>
      <w:pPr>
        <w:spacing w:before="120" w:after="40"/>
      </w:pPr>
      <w:r>
        <w:rPr>
          <w:b/>
          <w:color w:val="4A90B0"/>
          <w:sz w:val="22"/>
        </w:rPr>
        <w:t>7.1 Standard Project Status Report (to be submitted 3 days before ITSC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Executive Summary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Key achievements, risks, decisions required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Schedule Status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Planned vs Actual timeline with milestones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vs actual with variance explanation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Register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Top 5 risks with mitigation actions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Issues Log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Open issues with severity and owner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 Tracking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Benefits realisation progress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Resource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Team composition, vacancies, attrition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Next Period Plan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Key activities for next reporting period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Decisions Required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Specific items for ITSC decision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7.2 Project Categorisation for ITSC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Budget Range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Frequency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Escalation Level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Mega Project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INR 50 Crore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+ Quarterly Deep-Dive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/ IT Strategy Committee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Major Project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INR 10 – 50 Crore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Steering Committee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Standard Project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INR 2 – 10 Crore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(summary)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Steering Committee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Minor Project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 INR 2 Crore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Exception-based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Functional Head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8. Escalation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Escalation Level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Level 1 – Project Manager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Schedule slippage &gt; 10%, budget variance &gt; 10%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Recovery plan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 working days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Level 2 – Project Sponsor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Schedule slippage &gt; 20%, budget variance &gt; 15%, risk score = 4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Sponsor review + ITSC notification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 working days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Level 3 – IT Steering Committee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score = 5, Critical vendor failure, compliance breach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meeting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Level 4 – IT Strategy Committee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failure risk, regulatory penalty exposure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notification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9. Document Templates Annexure</w:t>
      </w:r>
    </w:p>
    <w:p>
      <w:pPr>
        <w:spacing w:before="20" w:after="20"/>
      </w:pPr>
      <w:r>
        <w:rPr>
          <w:sz w:val="20"/>
        </w:rPr>
        <w:t>The following templates form part of this SOP and shall be used by all material IT projects: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Risk Register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BMBL/PMO/TMPL/007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identification and tracking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Variance Report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BMBL/PMO/TMPL/008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performance monitoring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Benefits Realisation Plan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BMBL/PMO/TMPL/009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 definition and tracking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Status Report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BMBL/PMO/TMPL/010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status reporting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Milestone Gate Checklist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BMBL/PMO/TMPL/011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Stage-gate approval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10. Compliance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 meeting minutes review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Signed minutes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Project risk register audit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Audit sign-off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variance reconciliation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CFO certification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Benefit realisation validation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Bi-Annual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 report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SOP compliance check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Semi-Annual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Compliance dashboard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11. Version History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Approval Authority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Decision Reference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 May 2024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ITSC/2024/015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 May 2024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CIO/APP/2024/092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sz w:val="20"/>
        </w:rPr>
        <w:t>*This SOP is the property of Bharat Mercantile Bank Limited. Unauthorised reproduction or distribution is prohibited.*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