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STANDARD OPERATING PROCEDURE</w:t>
      </w:r>
    </w:p>
    <w:p>
      <w:pPr>
        <w:spacing w:before="200" w:after="80"/>
      </w:pPr>
      <w:r>
        <w:rPr>
          <w:b/>
          <w:color w:val="2C5F8A"/>
          <w:sz w:val="32"/>
        </w:rPr>
        <w:t>Audit Observation Closure and Root Cause Tracking</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**Document Control**</w:t>
            </w:r>
          </w:p>
        </w:tc>
        <w:tc>
          <w:tcPr>
            <w:tcW w:type="dxa" w:w="4703"/>
            <w:shd w:fill="1B3A5C"/>
          </w:tcPr>
          <w:p>
            <w:pPr>
              <w:spacing w:before="40" w:after="40"/>
            </w:pPr>
            <w:r>
              <w:rPr>
                <w:b/>
                <w:color w:val="FFFFFF"/>
                <w:sz w:val="20"/>
              </w:rPr>
            </w:r>
            <w:r>
              <w:rPr>
                <w:b/>
                <w:color w:val="FFFFFF"/>
                <w:sz w:val="20"/>
              </w:rPr>
            </w:r>
          </w:p>
        </w:tc>
      </w:tr>
      <w:tr>
        <w:tc>
          <w:tcPr>
            <w:tcW w:type="dxa" w:w="4703"/>
          </w:tcPr>
          <w:p>
            <w:pPr>
              <w:spacing w:before="40" w:after="40"/>
            </w:pPr>
            <w:r>
              <w:rPr>
                <w:sz w:val="20"/>
              </w:rPr>
            </w:r>
            <w:r>
              <w:rPr>
                <w:sz w:val="20"/>
              </w:rPr>
              <w:t>Document Number</w:t>
            </w:r>
          </w:p>
        </w:tc>
        <w:tc>
          <w:tcPr>
            <w:tcW w:type="dxa" w:w="4703"/>
          </w:tcPr>
          <w:p>
            <w:pPr>
              <w:spacing w:before="40" w:after="40"/>
            </w:pPr>
            <w:r>
              <w:rPr>
                <w:sz w:val="20"/>
              </w:rPr>
            </w:r>
            <w:r>
              <w:rPr>
                <w:sz w:val="20"/>
              </w:rPr>
              <w:t>DI-02-02</w:t>
            </w:r>
          </w:p>
        </w:tc>
      </w:tr>
      <w:tr>
        <w:tc>
          <w:tcPr>
            <w:tcW w:type="dxa" w:w="4703"/>
            <w:shd w:fill="F2F7FB"/>
          </w:tcPr>
          <w:p>
            <w:pPr>
              <w:spacing w:before="40" w:after="40"/>
            </w:pPr>
            <w:r>
              <w:rPr>
                <w:sz w:val="20"/>
              </w:rPr>
            </w:r>
            <w:r>
              <w:rPr>
                <w:sz w:val="20"/>
              </w:rPr>
              <w:t>Version</w:t>
            </w:r>
          </w:p>
        </w:tc>
        <w:tc>
          <w:tcPr>
            <w:tcW w:type="dxa" w:w="4703"/>
            <w:shd w:fill="F2F7FB"/>
          </w:tcPr>
          <w:p>
            <w:pPr>
              <w:spacing w:before="40" w:after="40"/>
            </w:pPr>
            <w:r>
              <w:rPr>
                <w:sz w:val="20"/>
              </w:rPr>
            </w:r>
            <w:r>
              <w:rPr>
                <w:sz w:val="20"/>
              </w:rPr>
              <w:t>2.0</w:t>
            </w:r>
          </w:p>
        </w:tc>
      </w:tr>
      <w:tr>
        <w:tc>
          <w:tcPr>
            <w:tcW w:type="dxa" w:w="4703"/>
          </w:tcPr>
          <w:p>
            <w:pPr>
              <w:spacing w:before="40" w:after="40"/>
            </w:pPr>
            <w:r>
              <w:rPr>
                <w:sz w:val="20"/>
              </w:rPr>
            </w:r>
            <w:r>
              <w:rPr>
                <w:sz w:val="20"/>
              </w:rPr>
              <w:t>Effective Date</w:t>
            </w:r>
          </w:p>
        </w:tc>
        <w:tc>
          <w:tcPr>
            <w:tcW w:type="dxa" w:w="4703"/>
          </w:tcPr>
          <w:p>
            <w:pPr>
              <w:spacing w:before="40" w:after="40"/>
            </w:pPr>
            <w:r>
              <w:rPr>
                <w:sz w:val="20"/>
              </w:rPr>
            </w:r>
            <w:r>
              <w:rPr>
                <w:sz w:val="20"/>
              </w:rPr>
              <w:t>01-Apr-2024</w:t>
            </w:r>
          </w:p>
        </w:tc>
      </w:tr>
      <w:tr>
        <w:tc>
          <w:tcPr>
            <w:tcW w:type="dxa" w:w="4703"/>
            <w:shd w:fill="F2F7FB"/>
          </w:tcPr>
          <w:p>
            <w:pPr>
              <w:spacing w:before="40" w:after="40"/>
            </w:pPr>
            <w:r>
              <w:rPr>
                <w:sz w:val="20"/>
              </w:rPr>
            </w:r>
            <w:r>
              <w:rPr>
                <w:sz w:val="20"/>
              </w:rPr>
              <w:t>Review Cycle</w:t>
            </w:r>
          </w:p>
        </w:tc>
        <w:tc>
          <w:tcPr>
            <w:tcW w:type="dxa" w:w="4703"/>
            <w:shd w:fill="F2F7FB"/>
          </w:tcPr>
          <w:p>
            <w:pPr>
              <w:spacing w:before="40" w:after="40"/>
            </w:pPr>
            <w:r>
              <w:rPr>
                <w:sz w:val="20"/>
              </w:rPr>
            </w:r>
            <w:r>
              <w:rPr>
                <w:sz w:val="20"/>
              </w:rPr>
              <w:t>Annual</w:t>
            </w:r>
          </w:p>
        </w:tc>
      </w:tr>
      <w:tr>
        <w:tc>
          <w:tcPr>
            <w:tcW w:type="dxa" w:w="4703"/>
          </w:tcPr>
          <w:p>
            <w:pPr>
              <w:spacing w:before="40" w:after="40"/>
            </w:pPr>
            <w:r>
              <w:rPr>
                <w:sz w:val="20"/>
              </w:rPr>
            </w:r>
            <w:r>
              <w:rPr>
                <w:sz w:val="20"/>
              </w:rPr>
              <w:t>Owner</w:t>
            </w:r>
          </w:p>
        </w:tc>
        <w:tc>
          <w:tcPr>
            <w:tcW w:type="dxa" w:w="4703"/>
          </w:tcPr>
          <w:p>
            <w:pPr>
              <w:spacing w:before="40" w:after="40"/>
            </w:pPr>
            <w:r>
              <w:rPr>
                <w:sz w:val="20"/>
              </w:rPr>
            </w:r>
            <w:r>
              <w:rPr>
                <w:sz w:val="20"/>
              </w:rPr>
              <w:t>Chief Information Security Officer (CISO)</w:t>
            </w:r>
          </w:p>
        </w:tc>
      </w:tr>
      <w:tr>
        <w:tc>
          <w:tcPr>
            <w:tcW w:type="dxa" w:w="4703"/>
            <w:shd w:fill="F2F7FB"/>
          </w:tcPr>
          <w:p>
            <w:pPr>
              <w:spacing w:before="40" w:after="40"/>
            </w:pPr>
            <w:r>
              <w:rPr>
                <w:sz w:val="20"/>
              </w:rPr>
            </w:r>
            <w:r>
              <w:rPr>
                <w:sz w:val="20"/>
              </w:rPr>
              <w:t>Entity</w:t>
            </w:r>
          </w:p>
        </w:tc>
        <w:tc>
          <w:tcPr>
            <w:tcW w:type="dxa" w:w="4703"/>
            <w:shd w:fill="F2F7FB"/>
          </w:tcPr>
          <w:p>
            <w:pPr>
              <w:spacing w:before="40" w:after="40"/>
            </w:pPr>
            <w:r>
              <w:rPr>
                <w:sz w:val="20"/>
              </w:rPr>
            </w:r>
            <w:r>
              <w:rPr>
                <w:b/>
                <w:sz w:val="20"/>
              </w:rPr>
              <w:t>Bharat Mercantile Bank Limited</w:t>
            </w:r>
          </w:p>
        </w:tc>
      </w:tr>
      <w:tr>
        <w:tc>
          <w:tcPr>
            <w:tcW w:type="dxa" w:w="4703"/>
          </w:tcPr>
          <w:p>
            <w:pPr>
              <w:spacing w:before="40" w:after="40"/>
            </w:pPr>
            <w:r>
              <w:rPr>
                <w:sz w:val="20"/>
              </w:rPr>
            </w:r>
            <w:r>
              <w:rPr>
                <w:sz w:val="20"/>
              </w:rPr>
              <w:t>Classification</w:t>
            </w:r>
          </w:p>
        </w:tc>
        <w:tc>
          <w:tcPr>
            <w:tcW w:type="dxa" w:w="4703"/>
          </w:tcPr>
          <w:p>
            <w:pPr>
              <w:spacing w:before="40" w:after="40"/>
            </w:pPr>
            <w:r>
              <w:rPr>
                <w:sz w:val="20"/>
              </w:rPr>
            </w:r>
            <w:r>
              <w:rPr>
                <w:sz w:val="20"/>
              </w:rPr>
              <w:t>Internal - Confidential</w:t>
            </w:r>
          </w:p>
        </w:tc>
      </w:tr>
    </w:tbl>
    <w:p/>
    <w:p>
      <w:pPr>
        <w:spacing w:before="160" w:after="60"/>
      </w:pPr>
      <w:r>
        <w:rPr>
          <w:b/>
          <w:color w:val="3A7CA5"/>
          <w:sz w:val="26"/>
        </w:rPr>
        <w:t>DOCUMENT APPROVAL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Role</w:t>
            </w:r>
          </w:p>
        </w:tc>
        <w:tc>
          <w:tcPr>
            <w:tcW w:type="dxa" w:w="2351"/>
            <w:shd w:fill="1B3A5C"/>
          </w:tcPr>
          <w:p>
            <w:pPr>
              <w:spacing w:before="40" w:after="40"/>
            </w:pPr>
            <w:r>
              <w:rPr>
                <w:b/>
                <w:color w:val="FFFFFF"/>
                <w:sz w:val="20"/>
              </w:rPr>
            </w:r>
            <w:r>
              <w:rPr>
                <w:b/>
                <w:color w:val="FFFFFF"/>
                <w:sz w:val="20"/>
              </w:rPr>
              <w:t>Name</w:t>
            </w:r>
          </w:p>
        </w:tc>
        <w:tc>
          <w:tcPr>
            <w:tcW w:type="dxa" w:w="2351"/>
            <w:shd w:fill="1B3A5C"/>
          </w:tcPr>
          <w:p>
            <w:pPr>
              <w:spacing w:before="40" w:after="40"/>
            </w:pPr>
            <w:r>
              <w:rPr>
                <w:b/>
                <w:color w:val="FFFFFF"/>
                <w:sz w:val="20"/>
              </w:rPr>
            </w:r>
            <w:r>
              <w:rPr>
                <w:b/>
                <w:color w:val="FFFFFF"/>
                <w:sz w:val="20"/>
              </w:rPr>
              <w:t>Signature</w:t>
            </w:r>
          </w:p>
        </w:tc>
        <w:tc>
          <w:tcPr>
            <w:tcW w:type="dxa" w:w="2351"/>
            <w:shd w:fill="1B3A5C"/>
          </w:tcPr>
          <w:p>
            <w:pPr>
              <w:spacing w:before="40" w:after="40"/>
            </w:pPr>
            <w:r>
              <w:rPr>
                <w:b/>
                <w:color w:val="FFFFFF"/>
                <w:sz w:val="20"/>
              </w:rPr>
            </w:r>
            <w:r>
              <w:rPr>
                <w:b/>
                <w:color w:val="FFFFFF"/>
                <w:sz w:val="20"/>
              </w:rPr>
              <w:t>Date</w:t>
            </w:r>
          </w:p>
        </w:tc>
      </w:tr>
      <w:tr>
        <w:tc>
          <w:tcPr>
            <w:tcW w:type="dxa" w:w="2351"/>
          </w:tcPr>
          <w:p>
            <w:pPr>
              <w:spacing w:before="40" w:after="40"/>
            </w:pPr>
            <w:r>
              <w:rPr>
                <w:sz w:val="20"/>
              </w:rPr>
            </w:r>
            <w:r>
              <w:rPr>
                <w:sz w:val="20"/>
              </w:rPr>
              <w:t>Author</w:t>
            </w:r>
          </w:p>
        </w:tc>
        <w:tc>
          <w:tcPr>
            <w:tcW w:type="dxa" w:w="2351"/>
          </w:tcPr>
          <w:p>
            <w:pPr>
              <w:spacing w:before="40" w:after="40"/>
            </w:pPr>
            <w:r>
              <w:rPr>
                <w:sz w:val="20"/>
              </w:rPr>
            </w:r>
            <w:r>
              <w:rPr>
                <w:sz w:val="20"/>
              </w:rPr>
              <w:t>Head - IS Audit</w:t>
            </w:r>
          </w:p>
        </w:tc>
        <w:tc>
          <w:tcPr>
            <w:tcW w:type="dxa" w:w="2351"/>
          </w:tcPr>
          <w:p>
            <w:pPr>
              <w:spacing w:before="40" w:after="40"/>
            </w:pPr>
            <w:r>
              <w:rPr>
                <w:sz w:val="20"/>
              </w:rPr>
            </w:r>
          </w:p>
        </w:tc>
        <w:tc>
          <w:tcPr>
            <w:tcW w:type="dxa" w:w="2351"/>
          </w:tcPr>
          <w:p>
            <w:pPr>
              <w:spacing w:before="40" w:after="40"/>
            </w:pPr>
            <w:r>
              <w:rPr>
                <w:sz w:val="20"/>
              </w:rPr>
            </w:r>
          </w:p>
        </w:tc>
      </w:tr>
      <w:tr>
        <w:tc>
          <w:tcPr>
            <w:tcW w:type="dxa" w:w="2351"/>
            <w:shd w:fill="F2F7FB"/>
          </w:tcPr>
          <w:p>
            <w:pPr>
              <w:spacing w:before="40" w:after="40"/>
            </w:pPr>
            <w:r>
              <w:rPr>
                <w:sz w:val="20"/>
              </w:rPr>
            </w:r>
            <w:r>
              <w:rPr>
                <w:sz w:val="20"/>
              </w:rPr>
              <w:t>Reviewed By</w:t>
            </w:r>
          </w:p>
        </w:tc>
        <w:tc>
          <w:tcPr>
            <w:tcW w:type="dxa" w:w="2351"/>
            <w:shd w:fill="F2F7FB"/>
          </w:tcPr>
          <w:p>
            <w:pPr>
              <w:spacing w:before="40" w:after="40"/>
            </w:pPr>
            <w:r>
              <w:rPr>
                <w:sz w:val="20"/>
              </w:rPr>
            </w:r>
            <w:r>
              <w:rPr>
                <w:sz w:val="20"/>
              </w:rPr>
              <w:t>Chief Information Security Officer</w:t>
            </w:r>
          </w:p>
        </w:tc>
        <w:tc>
          <w:tcPr>
            <w:tcW w:type="dxa" w:w="2351"/>
            <w:shd w:fill="F2F7FB"/>
          </w:tcPr>
          <w:p>
            <w:pPr>
              <w:spacing w:before="40" w:after="40"/>
            </w:pPr>
            <w:r>
              <w:rPr>
                <w:sz w:val="20"/>
              </w:rPr>
            </w:r>
          </w:p>
        </w:tc>
        <w:tc>
          <w:tcPr>
            <w:tcW w:type="dxa" w:w="2351"/>
            <w:shd w:fill="F2F7FB"/>
          </w:tcPr>
          <w:p>
            <w:pPr>
              <w:spacing w:before="40" w:after="40"/>
            </w:pPr>
            <w:r>
              <w:rPr>
                <w:sz w:val="20"/>
              </w:rPr>
            </w:r>
          </w:p>
        </w:tc>
      </w:tr>
      <w:tr>
        <w:tc>
          <w:tcPr>
            <w:tcW w:type="dxa" w:w="2351"/>
          </w:tcPr>
          <w:p>
            <w:pPr>
              <w:spacing w:before="40" w:after="40"/>
            </w:pPr>
            <w:r>
              <w:rPr>
                <w:sz w:val="20"/>
              </w:rPr>
            </w:r>
            <w:r>
              <w:rPr>
                <w:sz w:val="20"/>
              </w:rPr>
              <w:t>Reviewed By</w:t>
            </w:r>
          </w:p>
        </w:tc>
        <w:tc>
          <w:tcPr>
            <w:tcW w:type="dxa" w:w="2351"/>
          </w:tcPr>
          <w:p>
            <w:pPr>
              <w:spacing w:before="40" w:after="40"/>
            </w:pPr>
            <w:r>
              <w:rPr>
                <w:sz w:val="20"/>
              </w:rPr>
            </w:r>
            <w:r>
              <w:rPr>
                <w:sz w:val="20"/>
              </w:rPr>
              <w:t>Chief Risk Officer</w:t>
            </w:r>
          </w:p>
        </w:tc>
        <w:tc>
          <w:tcPr>
            <w:tcW w:type="dxa" w:w="2351"/>
          </w:tcPr>
          <w:p>
            <w:pPr>
              <w:spacing w:before="40" w:after="40"/>
            </w:pPr>
            <w:r>
              <w:rPr>
                <w:sz w:val="20"/>
              </w:rPr>
            </w:r>
          </w:p>
        </w:tc>
        <w:tc>
          <w:tcPr>
            <w:tcW w:type="dxa" w:w="2351"/>
          </w:tcPr>
          <w:p>
            <w:pPr>
              <w:spacing w:before="40" w:after="40"/>
            </w:pPr>
            <w:r>
              <w:rPr>
                <w:sz w:val="20"/>
              </w:rPr>
            </w:r>
          </w:p>
        </w:tc>
      </w:tr>
      <w:tr>
        <w:tc>
          <w:tcPr>
            <w:tcW w:type="dxa" w:w="2351"/>
            <w:shd w:fill="F2F7FB"/>
          </w:tcPr>
          <w:p>
            <w:pPr>
              <w:spacing w:before="40" w:after="40"/>
            </w:pPr>
            <w:r>
              <w:rPr>
                <w:sz w:val="20"/>
              </w:rPr>
            </w:r>
            <w:r>
              <w:rPr>
                <w:sz w:val="20"/>
              </w:rPr>
              <w:t>Approved By</w:t>
            </w:r>
          </w:p>
        </w:tc>
        <w:tc>
          <w:tcPr>
            <w:tcW w:type="dxa" w:w="2351"/>
            <w:shd w:fill="F2F7FB"/>
          </w:tcPr>
          <w:p>
            <w:pPr>
              <w:spacing w:before="40" w:after="40"/>
            </w:pPr>
            <w:r>
              <w:rPr>
                <w:sz w:val="20"/>
              </w:rPr>
            </w:r>
            <w:r>
              <w:rPr>
                <w:sz w:val="20"/>
              </w:rPr>
              <w:t>Board Audit Committee Chairman</w:t>
            </w:r>
          </w:p>
        </w:tc>
        <w:tc>
          <w:tcPr>
            <w:tcW w:type="dxa" w:w="2351"/>
            <w:shd w:fill="F2F7FB"/>
          </w:tcPr>
          <w:p>
            <w:pPr>
              <w:spacing w:before="40" w:after="40"/>
            </w:pPr>
            <w:r>
              <w:rPr>
                <w:sz w:val="20"/>
              </w:rPr>
            </w:r>
          </w:p>
        </w:tc>
        <w:tc>
          <w:tcPr>
            <w:tcW w:type="dxa" w:w="2351"/>
            <w:shd w:fill="F2F7FB"/>
          </w:tcPr>
          <w:p>
            <w:pPr>
              <w:spacing w:before="40" w:after="40"/>
            </w:pPr>
            <w:r>
              <w:rPr>
                <w:sz w:val="20"/>
              </w:rPr>
            </w:r>
          </w:p>
        </w:tc>
      </w:tr>
    </w:tbl>
    <w:p/>
    <w:p>
      <w:pPr>
        <w:spacing w:before="160" w:after="60"/>
      </w:pPr>
      <w:r>
        <w:rPr>
          <w:b/>
          <w:color w:val="3A7CA5"/>
          <w:sz w:val="26"/>
        </w:rPr>
        <w:t>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Author</w:t>
            </w:r>
          </w:p>
        </w:tc>
        <w:tc>
          <w:tcPr>
            <w:tcW w:type="dxa" w:w="2351"/>
            <w:shd w:fill="1B3A5C"/>
          </w:tcPr>
          <w:p>
            <w:pPr>
              <w:spacing w:before="40" w:after="40"/>
            </w:pPr>
            <w:r>
              <w:rPr>
                <w:b/>
                <w:color w:val="FFFFFF"/>
                <w:sz w:val="20"/>
              </w:rPr>
            </w:r>
            <w:r>
              <w:rPr>
                <w:b/>
                <w:color w:val="FFFFFF"/>
                <w:sz w:val="20"/>
              </w:rPr>
              <w:t>Description of Change</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01-Jun-2023</w:t>
            </w:r>
          </w:p>
        </w:tc>
        <w:tc>
          <w:tcPr>
            <w:tcW w:type="dxa" w:w="2351"/>
          </w:tcPr>
          <w:p>
            <w:pPr>
              <w:spacing w:before="40" w:after="40"/>
            </w:pPr>
            <w:r>
              <w:rPr>
                <w:sz w:val="20"/>
              </w:rPr>
            </w:r>
            <w:r>
              <w:rPr>
                <w:sz w:val="20"/>
              </w:rPr>
              <w:t>IS Audit Division</w:t>
            </w:r>
          </w:p>
        </w:tc>
        <w:tc>
          <w:tcPr>
            <w:tcW w:type="dxa" w:w="2351"/>
          </w:tcPr>
          <w:p>
            <w:pPr>
              <w:spacing w:before="40" w:after="40"/>
            </w:pPr>
            <w:r>
              <w:rPr>
                <w:sz w:val="20"/>
              </w:rPr>
            </w:r>
            <w:r>
              <w:rPr>
                <w:sz w:val="20"/>
              </w:rPr>
              <w:t>Baseline SOP for IS audit observation closure</w:t>
            </w:r>
          </w:p>
        </w:tc>
      </w:tr>
      <w:tr>
        <w:tc>
          <w:tcPr>
            <w:tcW w:type="dxa" w:w="2351"/>
            <w:shd w:fill="F2F7FB"/>
          </w:tcPr>
          <w:p>
            <w:pPr>
              <w:spacing w:before="40" w:after="40"/>
            </w:pPr>
            <w:r>
              <w:rPr>
                <w:sz w:val="20"/>
              </w:rPr>
            </w:r>
            <w:r>
              <w:rPr>
                <w:sz w:val="20"/>
              </w:rPr>
              <w:t>2.0</w:t>
            </w:r>
          </w:p>
        </w:tc>
        <w:tc>
          <w:tcPr>
            <w:tcW w:type="dxa" w:w="2351"/>
            <w:shd w:fill="F2F7FB"/>
          </w:tcPr>
          <w:p>
            <w:pPr>
              <w:spacing w:before="40" w:after="40"/>
            </w:pPr>
            <w:r>
              <w:rPr>
                <w:sz w:val="20"/>
              </w:rPr>
            </w:r>
            <w:r>
              <w:rPr>
                <w:sz w:val="20"/>
              </w:rPr>
              <w:t>01-Apr-2024</w:t>
            </w:r>
          </w:p>
        </w:tc>
        <w:tc>
          <w:tcPr>
            <w:tcW w:type="dxa" w:w="2351"/>
            <w:shd w:fill="F2F7FB"/>
          </w:tcPr>
          <w:p>
            <w:pPr>
              <w:spacing w:before="40" w:after="40"/>
            </w:pPr>
            <w:r>
              <w:rPr>
                <w:sz w:val="20"/>
              </w:rPr>
            </w:r>
            <w:r>
              <w:rPr>
                <w:sz w:val="20"/>
              </w:rPr>
              <w:t>IS Audit Division</w:t>
            </w:r>
          </w:p>
        </w:tc>
        <w:tc>
          <w:tcPr>
            <w:tcW w:type="dxa" w:w="2351"/>
            <w:shd w:fill="F2F7FB"/>
          </w:tcPr>
          <w:p>
            <w:pPr>
              <w:spacing w:before="40" w:after="40"/>
            </w:pPr>
            <w:r>
              <w:rPr>
                <w:sz w:val="20"/>
              </w:rPr>
            </w:r>
            <w:r>
              <w:rPr>
                <w:sz w:val="20"/>
              </w:rPr>
              <w:t>Revised to include mandatory root cause analysis for all High/Medium risk observations; updated escalation matrix; added closure criteria</w:t>
            </w:r>
          </w:p>
        </w:tc>
      </w:tr>
    </w:tbl>
    <w:p/>
    <w:p>
      <w:pPr>
        <w:spacing w:before="160" w:after="60"/>
      </w:pPr>
      <w:r>
        <w:rPr>
          <w:b/>
          <w:color w:val="3A7CA5"/>
          <w:sz w:val="26"/>
        </w:rPr>
        <w:t>1. PURPOSE</w:t>
      </w:r>
    </w:p>
    <w:p>
      <w:pPr>
        <w:spacing w:before="20" w:after="20"/>
      </w:pPr>
      <w:r>
        <w:rPr>
          <w:sz w:val="20"/>
        </w:rPr>
        <w:t xml:space="preserve">The purpose of this Standard Operating Procedure (SOP) is to establish a structured and auditable framework for the closure of Information Systems (IS) audit observations at </w:t>
      </w:r>
      <w:r>
        <w:rPr>
          <w:b/>
          <w:sz w:val="20"/>
        </w:rPr>
        <w:t>Bharat Mercantile Bank Limited</w:t>
      </w:r>
      <w:r>
        <w:rPr>
          <w:sz w:val="20"/>
        </w:rPr>
        <w:t>. This SOP mandates that every observation be tracked to its root cause, ensuring that corrective actions address the underlying systemic deficiency rather than merely treating the symptom. Compliance with this SOP is mandatory for all departments and functions across the bank.</w:t>
      </w:r>
    </w:p>
    <w:p>
      <w:pPr>
        <w:spacing w:before="160" w:after="60"/>
      </w:pPr>
      <w:r>
        <w:rPr>
          <w:b/>
          <w:color w:val="3A7CA5"/>
          <w:sz w:val="26"/>
        </w:rPr>
        <w:t>2. SCOPE</w:t>
      </w:r>
    </w:p>
    <w:p>
      <w:pPr>
        <w:spacing w:before="20" w:after="20"/>
      </w:pPr>
      <w:r>
        <w:rPr>
          <w:sz w:val="20"/>
        </w:rPr>
        <w:t>This SOP applies to:</w:t>
      </w:r>
    </w:p>
    <w:p>
      <w:pPr>
        <w:spacing w:before="20" w:after="20"/>
        <w:ind w:left="567"/>
      </w:pPr>
      <w:r>
        <w:rPr>
          <w:sz w:val="20"/>
        </w:rPr>
        <w:t xml:space="preserve">  </w:t>
      </w:r>
      <w:r>
        <w:rPr>
          <w:sz w:val="20"/>
        </w:rPr>
        <w:t>All IS audit observations raised by internal IS Audit, external auditors (statutory/regulatory), or RBI inspection teams.</w:t>
      </w:r>
    </w:p>
    <w:p>
      <w:pPr>
        <w:spacing w:before="20" w:after="20"/>
        <w:ind w:left="567"/>
      </w:pPr>
      <w:r>
        <w:rPr>
          <w:sz w:val="20"/>
        </w:rPr>
        <w:t xml:space="preserve">  </w:t>
      </w:r>
      <w:r>
        <w:rPr>
          <w:sz w:val="20"/>
        </w:rPr>
        <w:t>Observations pertaining to any domain under the IS Audit framework (3.2.1, 3.3.1, 3.3.2, and any additional domains).</w:t>
      </w:r>
    </w:p>
    <w:p>
      <w:pPr>
        <w:spacing w:before="20" w:after="20"/>
        <w:ind w:left="567"/>
      </w:pPr>
      <w:r>
        <w:rPr>
          <w:sz w:val="20"/>
        </w:rPr>
        <w:t xml:space="preserve">  </w:t>
      </w:r>
      <w:r>
        <w:rPr>
          <w:sz w:val="20"/>
        </w:rPr>
        <w:t>All business units, support functions, IT operations, cybersecurity, and third-party service providers operating on behalf of the bank.</w:t>
      </w:r>
    </w:p>
    <w:p>
      <w:pPr>
        <w:spacing w:before="20" w:after="20"/>
        <w:ind w:left="567"/>
      </w:pPr>
      <w:r>
        <w:rPr>
          <w:sz w:val="20"/>
        </w:rPr>
        <w:t xml:space="preserve">  </w:t>
      </w:r>
      <w:r>
        <w:rPr>
          <w:sz w:val="20"/>
        </w:rPr>
        <w:t>All risk levels: High, Medium, and Low.</w:t>
      </w:r>
    </w:p>
    <w:p>
      <w:pPr>
        <w:spacing w:before="160" w:after="60"/>
      </w:pPr>
      <w:r>
        <w:rPr>
          <w:b/>
          <w:color w:val="3A7CA5"/>
          <w:sz w:val="26"/>
        </w:rPr>
        <w:t>3. DEFINITIONS AND ACRONYMS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Term</w:t>
            </w:r>
          </w:p>
        </w:tc>
        <w:tc>
          <w:tcPr>
            <w:tcW w:type="dxa" w:w="4703"/>
            <w:shd w:fill="1B3A5C"/>
          </w:tcPr>
          <w:p>
            <w:pPr>
              <w:spacing w:before="40" w:after="40"/>
            </w:pPr>
            <w:r>
              <w:rPr>
                <w:b/>
                <w:color w:val="FFFFFF"/>
                <w:sz w:val="20"/>
              </w:rPr>
            </w:r>
            <w:r>
              <w:rPr>
                <w:b/>
                <w:color w:val="FFFFFF"/>
                <w:sz w:val="20"/>
              </w:rPr>
              <w:t>Definition</w:t>
            </w:r>
          </w:p>
        </w:tc>
      </w:tr>
      <w:tr>
        <w:tc>
          <w:tcPr>
            <w:tcW w:type="dxa" w:w="4703"/>
          </w:tcPr>
          <w:p>
            <w:pPr>
              <w:spacing w:before="40" w:after="40"/>
            </w:pPr>
            <w:r>
              <w:rPr>
                <w:sz w:val="20"/>
              </w:rPr>
            </w:r>
            <w:r>
              <w:rPr>
                <w:sz w:val="20"/>
              </w:rPr>
              <w:t>Observation</w:t>
            </w:r>
          </w:p>
        </w:tc>
        <w:tc>
          <w:tcPr>
            <w:tcW w:type="dxa" w:w="4703"/>
          </w:tcPr>
          <w:p>
            <w:pPr>
              <w:spacing w:before="40" w:after="40"/>
            </w:pPr>
            <w:r>
              <w:rPr>
                <w:sz w:val="20"/>
              </w:rPr>
            </w:r>
            <w:r>
              <w:rPr>
                <w:sz w:val="20"/>
              </w:rPr>
              <w:t>A finding or non-conformance identified during an IS audit that requires remediation</w:t>
            </w:r>
          </w:p>
        </w:tc>
      </w:tr>
      <w:tr>
        <w:tc>
          <w:tcPr>
            <w:tcW w:type="dxa" w:w="4703"/>
            <w:shd w:fill="F2F7FB"/>
          </w:tcPr>
          <w:p>
            <w:pPr>
              <w:spacing w:before="40" w:after="40"/>
            </w:pPr>
            <w:r>
              <w:rPr>
                <w:sz w:val="20"/>
              </w:rPr>
            </w:r>
            <w:r>
              <w:rPr>
                <w:sz w:val="20"/>
              </w:rPr>
              <w:t>Root Cause</w:t>
            </w:r>
          </w:p>
        </w:tc>
        <w:tc>
          <w:tcPr>
            <w:tcW w:type="dxa" w:w="4703"/>
            <w:shd w:fill="F2F7FB"/>
          </w:tcPr>
          <w:p>
            <w:pPr>
              <w:spacing w:before="40" w:after="40"/>
            </w:pPr>
            <w:r>
              <w:rPr>
                <w:sz w:val="20"/>
              </w:rPr>
            </w:r>
            <w:r>
              <w:rPr>
                <w:sz w:val="20"/>
              </w:rPr>
              <w:t>The underlying fundamental reason that led to the observation, determined through structured analysis</w:t>
            </w:r>
          </w:p>
        </w:tc>
      </w:tr>
      <w:tr>
        <w:tc>
          <w:tcPr>
            <w:tcW w:type="dxa" w:w="4703"/>
          </w:tcPr>
          <w:p>
            <w:pPr>
              <w:spacing w:before="40" w:after="40"/>
            </w:pPr>
            <w:r>
              <w:rPr>
                <w:sz w:val="20"/>
              </w:rPr>
            </w:r>
            <w:r>
              <w:rPr>
                <w:sz w:val="20"/>
              </w:rPr>
              <w:t>CAPA</w:t>
            </w:r>
          </w:p>
        </w:tc>
        <w:tc>
          <w:tcPr>
            <w:tcW w:type="dxa" w:w="4703"/>
          </w:tcPr>
          <w:p>
            <w:pPr>
              <w:spacing w:before="40" w:after="40"/>
            </w:pPr>
            <w:r>
              <w:rPr>
                <w:sz w:val="20"/>
              </w:rPr>
            </w:r>
            <w:r>
              <w:rPr>
                <w:sz w:val="20"/>
              </w:rPr>
              <w:t>Corrective and Preventive Action plan</w:t>
            </w:r>
          </w:p>
        </w:tc>
      </w:tr>
      <w:tr>
        <w:tc>
          <w:tcPr>
            <w:tcW w:type="dxa" w:w="4703"/>
            <w:shd w:fill="F2F7FB"/>
          </w:tcPr>
          <w:p>
            <w:pPr>
              <w:spacing w:before="40" w:after="40"/>
            </w:pPr>
            <w:r>
              <w:rPr>
                <w:sz w:val="20"/>
              </w:rPr>
            </w:r>
            <w:r>
              <w:rPr>
                <w:sz w:val="20"/>
              </w:rPr>
              <w:t>RCA</w:t>
            </w:r>
          </w:p>
        </w:tc>
        <w:tc>
          <w:tcPr>
            <w:tcW w:type="dxa" w:w="4703"/>
            <w:shd w:fill="F2F7FB"/>
          </w:tcPr>
          <w:p>
            <w:pPr>
              <w:spacing w:before="40" w:after="40"/>
            </w:pPr>
            <w:r>
              <w:rPr>
                <w:sz w:val="20"/>
              </w:rPr>
            </w:r>
            <w:r>
              <w:rPr>
                <w:sz w:val="20"/>
              </w:rPr>
              <w:t>Root Cause Analysis</w:t>
            </w:r>
          </w:p>
        </w:tc>
      </w:tr>
      <w:tr>
        <w:tc>
          <w:tcPr>
            <w:tcW w:type="dxa" w:w="4703"/>
          </w:tcPr>
          <w:p>
            <w:pPr>
              <w:spacing w:before="40" w:after="40"/>
            </w:pPr>
            <w:r>
              <w:rPr>
                <w:sz w:val="20"/>
              </w:rPr>
            </w:r>
            <w:r>
              <w:rPr>
                <w:sz w:val="20"/>
              </w:rPr>
              <w:t>Closure Criteria</w:t>
            </w:r>
          </w:p>
        </w:tc>
        <w:tc>
          <w:tcPr>
            <w:tcW w:type="dxa" w:w="4703"/>
          </w:tcPr>
          <w:p>
            <w:pPr>
              <w:spacing w:before="40" w:after="40"/>
            </w:pPr>
            <w:r>
              <w:rPr>
                <w:sz w:val="20"/>
              </w:rPr>
            </w:r>
            <w:r>
              <w:rPr>
                <w:sz w:val="20"/>
              </w:rPr>
              <w:t>Predefined conditions that must be satisfied before an observation can be marked closed</w:t>
            </w:r>
          </w:p>
        </w:tc>
      </w:tr>
      <w:tr>
        <w:tc>
          <w:tcPr>
            <w:tcW w:type="dxa" w:w="4703"/>
            <w:shd w:fill="F2F7FB"/>
          </w:tcPr>
          <w:p>
            <w:pPr>
              <w:spacing w:before="40" w:after="40"/>
            </w:pPr>
            <w:r>
              <w:rPr>
                <w:sz w:val="20"/>
              </w:rPr>
            </w:r>
            <w:r>
              <w:rPr>
                <w:sz w:val="20"/>
              </w:rPr>
              <w:t>Escalation Matrix</w:t>
            </w:r>
          </w:p>
        </w:tc>
        <w:tc>
          <w:tcPr>
            <w:tcW w:type="dxa" w:w="4703"/>
            <w:shd w:fill="F2F7FB"/>
          </w:tcPr>
          <w:p>
            <w:pPr>
              <w:spacing w:before="40" w:after="40"/>
            </w:pPr>
            <w:r>
              <w:rPr>
                <w:sz w:val="20"/>
              </w:rPr>
            </w:r>
            <w:r>
              <w:rPr>
                <w:sz w:val="20"/>
              </w:rPr>
              <w:t>Hierarchical routing path for unresolved or overdue observations</w:t>
            </w:r>
          </w:p>
        </w:tc>
      </w:tr>
      <w:tr>
        <w:tc>
          <w:tcPr>
            <w:tcW w:type="dxa" w:w="4703"/>
          </w:tcPr>
          <w:p>
            <w:pPr>
              <w:spacing w:before="40" w:after="40"/>
            </w:pPr>
            <w:r>
              <w:rPr>
                <w:sz w:val="20"/>
              </w:rPr>
            </w:r>
            <w:r>
              <w:rPr>
                <w:sz w:val="20"/>
              </w:rPr>
              <w:t>Risk Acceptance</w:t>
            </w:r>
          </w:p>
        </w:tc>
        <w:tc>
          <w:tcPr>
            <w:tcW w:type="dxa" w:w="4703"/>
          </w:tcPr>
          <w:p>
            <w:pPr>
              <w:spacing w:before="40" w:after="40"/>
            </w:pPr>
            <w:r>
              <w:rPr>
                <w:sz w:val="20"/>
              </w:rPr>
            </w:r>
            <w:r>
              <w:rPr>
                <w:sz w:val="20"/>
              </w:rPr>
              <w:t>Formal documented acceptance of residual risk by an authorized risk owner</w:t>
            </w:r>
          </w:p>
        </w:tc>
      </w:tr>
    </w:tbl>
    <w:p/>
    <w:p>
      <w:pPr>
        <w:spacing w:before="160" w:after="60"/>
      </w:pPr>
      <w:r>
        <w:rPr>
          <w:b/>
          <w:color w:val="3A7CA5"/>
          <w:sz w:val="26"/>
        </w:rPr>
        <w:t>4.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Responsibility</w:t>
            </w:r>
          </w:p>
        </w:tc>
      </w:tr>
      <w:tr>
        <w:tc>
          <w:tcPr>
            <w:tcW w:type="dxa" w:w="4703"/>
          </w:tcPr>
          <w:p>
            <w:pPr>
              <w:spacing w:before="40" w:after="40"/>
            </w:pPr>
            <w:r>
              <w:rPr>
                <w:sz w:val="20"/>
              </w:rPr>
            </w:r>
            <w:r>
              <w:rPr>
                <w:sz w:val="20"/>
              </w:rPr>
              <w:t>Observation Owner</w:t>
            </w:r>
          </w:p>
        </w:tc>
        <w:tc>
          <w:tcPr>
            <w:tcW w:type="dxa" w:w="4703"/>
          </w:tcPr>
          <w:p>
            <w:pPr>
              <w:spacing w:before="40" w:after="40"/>
            </w:pPr>
            <w:r>
              <w:rPr>
                <w:sz w:val="20"/>
              </w:rPr>
            </w:r>
            <w:r>
              <w:rPr>
                <w:sz w:val="20"/>
              </w:rPr>
              <w:t>Department head or process owner accountable for implementing remediation. Submits closure evidence.</w:t>
            </w:r>
          </w:p>
        </w:tc>
      </w:tr>
      <w:tr>
        <w:tc>
          <w:tcPr>
            <w:tcW w:type="dxa" w:w="4703"/>
            <w:shd w:fill="F2F7FB"/>
          </w:tcPr>
          <w:p>
            <w:pPr>
              <w:spacing w:before="40" w:after="40"/>
            </w:pPr>
            <w:r>
              <w:rPr>
                <w:sz w:val="20"/>
              </w:rPr>
            </w:r>
            <w:r>
              <w:rPr>
                <w:sz w:val="20"/>
              </w:rPr>
              <w:t>IS Audit Division</w:t>
            </w:r>
          </w:p>
        </w:tc>
        <w:tc>
          <w:tcPr>
            <w:tcW w:type="dxa" w:w="4703"/>
            <w:shd w:fill="F2F7FB"/>
          </w:tcPr>
          <w:p>
            <w:pPr>
              <w:spacing w:before="40" w:after="40"/>
            </w:pPr>
            <w:r>
              <w:rPr>
                <w:sz w:val="20"/>
              </w:rPr>
            </w:r>
            <w:r>
              <w:rPr>
                <w:sz w:val="20"/>
              </w:rPr>
              <w:t>Validates closure evidence, tracks observation lifecycle, maintains observation register, reports to Audit Committee.</w:t>
            </w:r>
          </w:p>
        </w:tc>
      </w:tr>
      <w:tr>
        <w:tc>
          <w:tcPr>
            <w:tcW w:type="dxa" w:w="4703"/>
          </w:tcPr>
          <w:p>
            <w:pPr>
              <w:spacing w:before="40" w:after="40"/>
            </w:pPr>
            <w:r>
              <w:rPr>
                <w:sz w:val="20"/>
              </w:rPr>
            </w:r>
            <w:r>
              <w:rPr>
                <w:sz w:val="20"/>
              </w:rPr>
              <w:t>Root Cause Analyst</w:t>
            </w:r>
          </w:p>
        </w:tc>
        <w:tc>
          <w:tcPr>
            <w:tcW w:type="dxa" w:w="4703"/>
          </w:tcPr>
          <w:p>
            <w:pPr>
              <w:spacing w:before="40" w:after="40"/>
            </w:pPr>
            <w:r>
              <w:rPr>
                <w:sz w:val="20"/>
              </w:rPr>
            </w:r>
            <w:r>
              <w:rPr>
                <w:sz w:val="20"/>
              </w:rPr>
              <w:t>Conducts RCA using approved methodologies (5-Why, Fishbone, etc.). Must be independent of the observation owner's line of reporting.</w:t>
            </w:r>
          </w:p>
        </w:tc>
      </w:tr>
      <w:tr>
        <w:tc>
          <w:tcPr>
            <w:tcW w:type="dxa" w:w="4703"/>
            <w:shd w:fill="F2F7FB"/>
          </w:tcPr>
          <w:p>
            <w:pPr>
              <w:spacing w:before="40" w:after="40"/>
            </w:pPr>
            <w:r>
              <w:rPr>
                <w:sz w:val="20"/>
              </w:rPr>
            </w:r>
            <w:r>
              <w:rPr>
                <w:sz w:val="20"/>
              </w:rPr>
              <w:t>CISO</w:t>
            </w:r>
          </w:p>
        </w:tc>
        <w:tc>
          <w:tcPr>
            <w:tcW w:type="dxa" w:w="4703"/>
            <w:shd w:fill="F2F7FB"/>
          </w:tcPr>
          <w:p>
            <w:pPr>
              <w:spacing w:before="40" w:after="40"/>
            </w:pPr>
            <w:r>
              <w:rPr>
                <w:sz w:val="20"/>
              </w:rPr>
            </w:r>
            <w:r>
              <w:rPr>
                <w:sz w:val="20"/>
              </w:rPr>
              <w:t>Reviews closure packages for High-risk observations. Escalates unresolved observations to Board Audit Committee.</w:t>
            </w:r>
          </w:p>
        </w:tc>
      </w:tr>
      <w:tr>
        <w:tc>
          <w:tcPr>
            <w:tcW w:type="dxa" w:w="4703"/>
          </w:tcPr>
          <w:p>
            <w:pPr>
              <w:spacing w:before="40" w:after="40"/>
            </w:pPr>
            <w:r>
              <w:rPr>
                <w:sz w:val="20"/>
              </w:rPr>
            </w:r>
            <w:r>
              <w:rPr>
                <w:sz w:val="20"/>
              </w:rPr>
              <w:t>Board Audit Committee</w:t>
            </w:r>
          </w:p>
        </w:tc>
        <w:tc>
          <w:tcPr>
            <w:tcW w:type="dxa" w:w="4703"/>
          </w:tcPr>
          <w:p>
            <w:pPr>
              <w:spacing w:before="40" w:after="40"/>
            </w:pPr>
            <w:r>
              <w:rPr>
                <w:sz w:val="20"/>
              </w:rPr>
            </w:r>
            <w:r>
              <w:rPr>
                <w:sz w:val="20"/>
              </w:rPr>
              <w:t>Provides oversight. Approves closure of High-risk observations. Reviews quarterly observation aging report.</w:t>
            </w:r>
          </w:p>
        </w:tc>
      </w:tr>
      <w:tr>
        <w:tc>
          <w:tcPr>
            <w:tcW w:type="dxa" w:w="4703"/>
            <w:shd w:fill="F2F7FB"/>
          </w:tcPr>
          <w:p>
            <w:pPr>
              <w:spacing w:before="40" w:after="40"/>
            </w:pPr>
            <w:r>
              <w:rPr>
                <w:sz w:val="20"/>
              </w:rPr>
            </w:r>
            <w:r>
              <w:rPr>
                <w:sz w:val="20"/>
              </w:rPr>
              <w:t>Risk Owner (for accepted risks)</w:t>
            </w:r>
          </w:p>
        </w:tc>
        <w:tc>
          <w:tcPr>
            <w:tcW w:type="dxa" w:w="4703"/>
            <w:shd w:fill="F2F7FB"/>
          </w:tcPr>
          <w:p>
            <w:pPr>
              <w:spacing w:before="40" w:after="40"/>
            </w:pPr>
            <w:r>
              <w:rPr>
                <w:sz w:val="20"/>
              </w:rPr>
            </w:r>
            <w:r>
              <w:rPr>
                <w:sz w:val="20"/>
              </w:rPr>
              <w:t>Signs Risk Acceptance Note (RAN) when remediation is deferred. Must be at least one level above Observation Owner.</w:t>
            </w:r>
          </w:p>
        </w:tc>
      </w:tr>
    </w:tbl>
    <w:p/>
    <w:p>
      <w:pPr>
        <w:spacing w:before="160" w:after="60"/>
      </w:pPr>
      <w:r>
        <w:rPr>
          <w:b/>
          <w:color w:val="3A7CA5"/>
          <w:sz w:val="26"/>
        </w:rPr>
        <w:t>5. OBSERVATION LIFECYCLE</w:t>
      </w:r>
    </w:p>
    <w:p>
      <w:pPr>
        <w:spacing w:before="20" w:after="20"/>
      </w:pPr>
      <w:r>
        <w:rPr>
          <w:sz w:val="20"/>
        </w:rPr>
        <w:t>The lifecycle of an IS audit observation shall follow these stages:</w:t>
      </w:r>
    </w:p>
    <w:p>
      <w:pPr>
        <w:spacing w:before="20" w:after="20"/>
      </w:pPr>
      <w:r>
        <w:rPr>
          <w:sz w:val="20"/>
        </w:rPr>
        <w:t>```</w:t>
      </w:r>
    </w:p>
    <w:p>
      <w:pPr>
        <w:spacing w:before="20" w:after="20"/>
      </w:pPr>
      <w:r>
        <w:rPr>
          <w:sz w:val="20"/>
        </w:rPr>
        <w:t>Identification -&gt; Registration -&gt; Root Cause Analysis -&gt; Remediation Planning -&gt; Remediation Execution -&gt; Closure Verification -&gt; Closure Approval -&gt; Archival</w:t>
      </w:r>
    </w:p>
    <w:p>
      <w:pPr>
        <w:spacing w:before="20" w:after="20"/>
      </w:pPr>
      <w:r>
        <w:rPr>
          <w:sz w:val="20"/>
        </w:rPr>
        <w:t>```</w:t>
      </w:r>
    </w:p>
    <w:p>
      <w:pPr>
        <w:spacing w:before="120" w:after="40"/>
      </w:pPr>
      <w:r>
        <w:rPr>
          <w:b/>
          <w:color w:val="4A90B0"/>
          <w:sz w:val="22"/>
        </w:rPr>
        <w:t>5.1 Identification and Registration</w:t>
      </w:r>
    </w:p>
    <w:p>
      <w:pPr>
        <w:spacing w:before="20" w:after="20"/>
      </w:pPr>
      <w:r>
        <w:rPr>
          <w:sz w:val="20"/>
        </w:rPr>
        <w:t>Within 5 business days of audit report issuance, the IS Audit Division shall register all observations in the centralized Observation Register (Doc Ref: DI-02-01). Each observation shall be assigned a unique OBS-ID and classified by risk level (High / Medium / Low) using the bank's risk scoring matrix.</w:t>
      </w:r>
    </w:p>
    <w:p>
      <w:pPr>
        <w:spacing w:before="120" w:after="40"/>
      </w:pPr>
      <w:r>
        <w:rPr>
          <w:b/>
          <w:color w:val="4A90B0"/>
          <w:sz w:val="22"/>
        </w:rPr>
        <w:t>5.2 Root Cause Analysis (Mandatory)</w:t>
      </w:r>
    </w:p>
    <w:p>
      <w:pPr>
        <w:spacing w:before="20" w:after="20"/>
        <w:ind w:left="567"/>
      </w:pPr>
      <w:r>
        <w:rPr>
          <w:sz w:val="20"/>
        </w:rPr>
        <w:t xml:space="preserve">  </w:t>
      </w:r>
      <w:r>
        <w:rPr>
          <w:b/>
          <w:sz w:val="20"/>
        </w:rPr>
        <w:t>High risk observations:</w:t>
      </w:r>
      <w:r>
        <w:rPr>
          <w:sz w:val="20"/>
        </w:rPr>
        <w:t xml:space="preserve"> RCA must be completed within 15 business days of observation registration.</w:t>
      </w:r>
    </w:p>
    <w:p>
      <w:pPr>
        <w:spacing w:before="20" w:after="20"/>
        <w:ind w:left="567"/>
      </w:pPr>
      <w:r>
        <w:rPr>
          <w:sz w:val="20"/>
        </w:rPr>
        <w:t xml:space="preserve">  </w:t>
      </w:r>
      <w:r>
        <w:rPr>
          <w:b/>
          <w:sz w:val="20"/>
        </w:rPr>
        <w:t>Medium risk observations:</w:t>
      </w:r>
      <w:r>
        <w:rPr>
          <w:sz w:val="20"/>
        </w:rPr>
        <w:t xml:space="preserve"> RCA must be completed within 30 business days.</w:t>
      </w:r>
    </w:p>
    <w:p>
      <w:pPr>
        <w:spacing w:before="20" w:after="20"/>
        <w:ind w:left="567"/>
      </w:pPr>
      <w:r>
        <w:rPr>
          <w:sz w:val="20"/>
        </w:rPr>
        <w:t xml:space="preserve">  </w:t>
      </w:r>
      <w:r>
        <w:rPr>
          <w:b/>
          <w:sz w:val="20"/>
        </w:rPr>
        <w:t>Low risk observations:</w:t>
      </w:r>
      <w:r>
        <w:rPr>
          <w:sz w:val="20"/>
        </w:rPr>
        <w:t xml:space="preserve"> RCA may be completed within 45 business days or waived with CISO approval.</w:t>
      </w:r>
    </w:p>
    <w:p>
      <w:pPr>
        <w:spacing w:before="20" w:after="20"/>
      </w:pPr>
      <w:r>
        <w:rPr>
          <w:sz w:val="20"/>
        </w:rPr>
        <w:t>The RCA shall use a structured methodology (5-Why analysis, Fishbone/Ishikawa diagram, or Cause-and-Effect analysis) and shall be documented using the Root Cause Analysis Template (Doc Ref: DI-02-04). The RCA must identify systemic, procedural, or technological deficiencies. Human error shall not be accepted as a root cause without identifying the systemic condition that enabled the error.</w:t>
      </w:r>
    </w:p>
    <w:p>
      <w:pPr>
        <w:spacing w:before="120" w:after="40"/>
      </w:pPr>
      <w:r>
        <w:rPr>
          <w:b/>
          <w:color w:val="4A90B0"/>
          <w:sz w:val="22"/>
        </w:rPr>
        <w:t>5.3 Remediation Planning</w:t>
      </w:r>
    </w:p>
    <w:p>
      <w:pPr>
        <w:spacing w:before="20" w:after="20"/>
      </w:pPr>
      <w:r>
        <w:rPr>
          <w:sz w:val="20"/>
        </w:rPr>
        <w:t>Based on the RCA findings, the Observation Owner shall prepare a Corrective and Preventive Action (CAPA) plan that includes:</w:t>
      </w:r>
    </w:p>
    <w:p>
      <w:pPr>
        <w:spacing w:before="20" w:after="20"/>
        <w:ind w:left="567"/>
      </w:pPr>
      <w:r>
        <w:rPr>
          <w:sz w:val="20"/>
        </w:rPr>
        <w:t xml:space="preserve">  </w:t>
      </w:r>
      <w:r>
        <w:rPr>
          <w:sz w:val="20"/>
        </w:rPr>
        <w:t>Specific remediation actions with measurable outcomes.</w:t>
      </w:r>
    </w:p>
    <w:p>
      <w:pPr>
        <w:spacing w:before="20" w:after="20"/>
        <w:ind w:left="567"/>
      </w:pPr>
      <w:r>
        <w:rPr>
          <w:sz w:val="20"/>
        </w:rPr>
        <w:t xml:space="preserve">  </w:t>
      </w:r>
      <w:r>
        <w:rPr>
          <w:sz w:val="20"/>
        </w:rPr>
        <w:t>Target closure date (not exceeding 6 months from observation date for High risk, 9 months for Medium, 12 months for Low).</w:t>
      </w:r>
    </w:p>
    <w:p>
      <w:pPr>
        <w:spacing w:before="20" w:after="20"/>
        <w:ind w:left="567"/>
      </w:pPr>
      <w:r>
        <w:rPr>
          <w:sz w:val="20"/>
        </w:rPr>
        <w:t xml:space="preserve">  </w:t>
      </w:r>
      <w:r>
        <w:rPr>
          <w:sz w:val="20"/>
        </w:rPr>
        <w:t>Resource requirements and dependencies.</w:t>
      </w:r>
    </w:p>
    <w:p>
      <w:pPr>
        <w:spacing w:before="20" w:after="20"/>
        <w:ind w:left="567"/>
      </w:pPr>
      <w:r>
        <w:rPr>
          <w:sz w:val="20"/>
        </w:rPr>
        <w:t xml:space="preserve">  </w:t>
      </w:r>
      <w:r>
        <w:rPr>
          <w:sz w:val="20"/>
        </w:rPr>
        <w:t>Interim compensating controls if remediation extends beyond target date.</w:t>
      </w:r>
    </w:p>
    <w:p>
      <w:pPr>
        <w:spacing w:before="20" w:after="20"/>
      </w:pPr>
      <w:r>
        <w:rPr>
          <w:sz w:val="20"/>
        </w:rPr>
        <w:t>The CAPA plan must be reviewed and approved by the IS Audit Division before execution begins.</w:t>
      </w:r>
    </w:p>
    <w:p>
      <w:pPr>
        <w:spacing w:before="120" w:after="40"/>
      </w:pPr>
      <w:r>
        <w:rPr>
          <w:b/>
          <w:color w:val="4A90B0"/>
          <w:sz w:val="22"/>
        </w:rPr>
        <w:t>5.4 Remediation Execution</w:t>
      </w:r>
    </w:p>
    <w:p>
      <w:pPr>
        <w:spacing w:before="20" w:after="20"/>
      </w:pPr>
      <w:r>
        <w:rPr>
          <w:sz w:val="20"/>
        </w:rPr>
        <w:t>The Observation Owner shall execute the CAPA plan and maintain:</w:t>
      </w:r>
    </w:p>
    <w:p>
      <w:pPr>
        <w:spacing w:before="20" w:after="20"/>
        <w:ind w:left="567"/>
      </w:pPr>
      <w:r>
        <w:rPr>
          <w:sz w:val="20"/>
        </w:rPr>
        <w:t xml:space="preserve">  </w:t>
      </w:r>
      <w:r>
        <w:rPr>
          <w:sz w:val="20"/>
        </w:rPr>
        <w:t>Evidence of remediation execution (screenshots, configuration exports, policy documents, training records).</w:t>
      </w:r>
    </w:p>
    <w:p>
      <w:pPr>
        <w:spacing w:before="20" w:after="20"/>
        <w:ind w:left="567"/>
      </w:pPr>
      <w:r>
        <w:rPr>
          <w:sz w:val="20"/>
        </w:rPr>
        <w:t xml:space="preserve">  </w:t>
      </w:r>
      <w:r>
        <w:rPr>
          <w:sz w:val="20"/>
        </w:rPr>
        <w:t>A remediation log tracking each action item against its target date.</w:t>
      </w:r>
    </w:p>
    <w:p>
      <w:pPr>
        <w:spacing w:before="120" w:after="40"/>
      </w:pPr>
      <w:r>
        <w:rPr>
          <w:b/>
          <w:color w:val="4A90B0"/>
          <w:sz w:val="22"/>
        </w:rPr>
        <w:t>5.5 Closure Verification</w:t>
      </w:r>
    </w:p>
    <w:p>
      <w:pPr>
        <w:spacing w:before="20" w:after="20"/>
      </w:pPr>
      <w:r>
        <w:rPr>
          <w:sz w:val="20"/>
        </w:rPr>
        <w:t>The IS Audit Division shall:</w:t>
      </w:r>
    </w:p>
    <w:p>
      <w:pPr>
        <w:spacing w:before="20" w:after="20"/>
        <w:ind w:left="567"/>
      </w:pPr>
      <w:r>
        <w:rPr>
          <w:sz w:val="20"/>
        </w:rPr>
        <w:t xml:space="preserve">  </w:t>
      </w:r>
      <w:r>
        <w:rPr>
          <w:sz w:val="20"/>
        </w:rPr>
        <w:t>Review all closure evidence submitted by the Observation Owner.</w:t>
      </w:r>
    </w:p>
    <w:p>
      <w:pPr>
        <w:spacing w:before="20" w:after="20"/>
        <w:ind w:left="567"/>
      </w:pPr>
      <w:r>
        <w:rPr>
          <w:sz w:val="20"/>
        </w:rPr>
        <w:t xml:space="preserve">  </w:t>
      </w:r>
      <w:r>
        <w:rPr>
          <w:sz w:val="20"/>
        </w:rPr>
        <w:t>Conduct a test of effectiveness (ToE) for High-risk observations within 30 days of claimed closure.</w:t>
      </w:r>
    </w:p>
    <w:p>
      <w:pPr>
        <w:spacing w:before="20" w:after="20"/>
        <w:ind w:left="567"/>
      </w:pPr>
      <w:r>
        <w:rPr>
          <w:sz w:val="20"/>
        </w:rPr>
        <w:t xml:space="preserve">  </w:t>
      </w:r>
      <w:r>
        <w:rPr>
          <w:sz w:val="20"/>
        </w:rPr>
        <w:t>Verify that the root cause has been addressed and the observation will not recur.</w:t>
      </w:r>
    </w:p>
    <w:p>
      <w:pPr>
        <w:spacing w:before="20" w:after="20"/>
        <w:ind w:left="567"/>
      </w:pPr>
      <w:r>
        <w:rPr>
          <w:sz w:val="20"/>
        </w:rPr>
        <w:t xml:space="preserve">  </w:t>
      </w:r>
      <w:r>
        <w:rPr>
          <w:sz w:val="20"/>
        </w:rPr>
        <w:t>Prepare a Closure Verification Report (CVR).</w:t>
      </w:r>
    </w:p>
    <w:p>
      <w:pPr>
        <w:spacing w:before="120" w:after="40"/>
      </w:pPr>
      <w:r>
        <w:rPr>
          <w:b/>
          <w:color w:val="4A90B0"/>
          <w:sz w:val="22"/>
        </w:rPr>
        <w:t>5.6 Closure Approval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Risk Level</w:t>
            </w:r>
          </w:p>
        </w:tc>
        <w:tc>
          <w:tcPr>
            <w:tcW w:type="dxa" w:w="3135"/>
            <w:shd w:fill="1B3A5C"/>
          </w:tcPr>
          <w:p>
            <w:pPr>
              <w:spacing w:before="40" w:after="40"/>
            </w:pPr>
            <w:r>
              <w:rPr>
                <w:b/>
                <w:color w:val="FFFFFF"/>
                <w:sz w:val="20"/>
              </w:rPr>
            </w:r>
            <w:r>
              <w:rPr>
                <w:b/>
                <w:color w:val="FFFFFF"/>
                <w:sz w:val="20"/>
              </w:rPr>
              <w:t>Approving Authority</w:t>
            </w:r>
          </w:p>
        </w:tc>
        <w:tc>
          <w:tcPr>
            <w:tcW w:type="dxa" w:w="3135"/>
            <w:shd w:fill="1B3A5C"/>
          </w:tcPr>
          <w:p>
            <w:pPr>
              <w:spacing w:before="40" w:after="40"/>
            </w:pPr>
            <w:r>
              <w:rPr>
                <w:b/>
                <w:color w:val="FFFFFF"/>
                <w:sz w:val="20"/>
              </w:rPr>
            </w:r>
            <w:r>
              <w:rPr>
                <w:b/>
                <w:color w:val="FFFFFF"/>
                <w:sz w:val="20"/>
              </w:rPr>
              <w:t>Quorum</w:t>
            </w:r>
          </w:p>
        </w:tc>
      </w:tr>
      <w:tr>
        <w:tc>
          <w:tcPr>
            <w:tcW w:type="dxa" w:w="3135"/>
          </w:tcPr>
          <w:p>
            <w:pPr>
              <w:spacing w:before="40" w:after="40"/>
            </w:pPr>
            <w:r>
              <w:rPr>
                <w:sz w:val="20"/>
              </w:rPr>
            </w:r>
            <w:r>
              <w:rPr>
                <w:sz w:val="20"/>
              </w:rPr>
              <w:t>High</w:t>
            </w:r>
          </w:p>
        </w:tc>
        <w:tc>
          <w:tcPr>
            <w:tcW w:type="dxa" w:w="3135"/>
          </w:tcPr>
          <w:p>
            <w:pPr>
              <w:spacing w:before="40" w:after="40"/>
            </w:pPr>
            <w:r>
              <w:rPr>
                <w:sz w:val="20"/>
              </w:rPr>
            </w:r>
            <w:r>
              <w:rPr>
                <w:sz w:val="20"/>
              </w:rPr>
              <w:t>Board Audit Committee</w:t>
            </w:r>
          </w:p>
        </w:tc>
        <w:tc>
          <w:tcPr>
            <w:tcW w:type="dxa" w:w="3135"/>
          </w:tcPr>
          <w:p>
            <w:pPr>
              <w:spacing w:before="40" w:after="40"/>
            </w:pPr>
            <w:r>
              <w:rPr>
                <w:sz w:val="20"/>
              </w:rPr>
            </w:r>
            <w:r>
              <w:rPr>
                <w:sz w:val="20"/>
              </w:rPr>
              <w:t>Agenda item with recorded minutes</w:t>
            </w:r>
          </w:p>
        </w:tc>
      </w:tr>
      <w:tr>
        <w:tc>
          <w:tcPr>
            <w:tcW w:type="dxa" w:w="3135"/>
            <w:shd w:fill="F2F7FB"/>
          </w:tcPr>
          <w:p>
            <w:pPr>
              <w:spacing w:before="40" w:after="40"/>
            </w:pPr>
            <w:r>
              <w:rPr>
                <w:sz w:val="20"/>
              </w:rPr>
            </w:r>
            <w:r>
              <w:rPr>
                <w:sz w:val="20"/>
              </w:rPr>
              <w:t>Medium</w:t>
            </w:r>
          </w:p>
        </w:tc>
        <w:tc>
          <w:tcPr>
            <w:tcW w:type="dxa" w:w="3135"/>
            <w:shd w:fill="F2F7FB"/>
          </w:tcPr>
          <w:p>
            <w:pPr>
              <w:spacing w:before="40" w:after="40"/>
            </w:pPr>
            <w:r>
              <w:rPr>
                <w:sz w:val="20"/>
              </w:rPr>
            </w:r>
            <w:r>
              <w:rPr>
                <w:sz w:val="20"/>
              </w:rPr>
              <w:t>CISO in consultation with CRO</w:t>
            </w:r>
          </w:p>
        </w:tc>
        <w:tc>
          <w:tcPr>
            <w:tcW w:type="dxa" w:w="3135"/>
            <w:shd w:fill="F2F7FB"/>
          </w:tcPr>
          <w:p>
            <w:pPr>
              <w:spacing w:before="40" w:after="40"/>
            </w:pPr>
            <w:r>
              <w:rPr>
                <w:sz w:val="20"/>
              </w:rPr>
            </w:r>
            <w:r>
              <w:rPr>
                <w:sz w:val="20"/>
              </w:rPr>
              <w:t>Documented approval with countersignature</w:t>
            </w:r>
          </w:p>
        </w:tc>
      </w:tr>
      <w:tr>
        <w:tc>
          <w:tcPr>
            <w:tcW w:type="dxa" w:w="3135"/>
          </w:tcPr>
          <w:p>
            <w:pPr>
              <w:spacing w:before="40" w:after="40"/>
            </w:pPr>
            <w:r>
              <w:rPr>
                <w:sz w:val="20"/>
              </w:rPr>
            </w:r>
            <w:r>
              <w:rPr>
                <w:sz w:val="20"/>
              </w:rPr>
              <w:t>Low</w:t>
            </w:r>
          </w:p>
        </w:tc>
        <w:tc>
          <w:tcPr>
            <w:tcW w:type="dxa" w:w="3135"/>
          </w:tcPr>
          <w:p>
            <w:pPr>
              <w:spacing w:before="40" w:after="40"/>
            </w:pPr>
            <w:r>
              <w:rPr>
                <w:sz w:val="20"/>
              </w:rPr>
            </w:r>
            <w:r>
              <w:rPr>
                <w:sz w:val="20"/>
              </w:rPr>
              <w:t>Head - IS Audit</w:t>
            </w:r>
          </w:p>
        </w:tc>
        <w:tc>
          <w:tcPr>
            <w:tcW w:type="dxa" w:w="3135"/>
          </w:tcPr>
          <w:p>
            <w:pPr>
              <w:spacing w:before="40" w:after="40"/>
            </w:pPr>
            <w:r>
              <w:rPr>
                <w:sz w:val="20"/>
              </w:rPr>
            </w:r>
            <w:r>
              <w:rPr>
                <w:sz w:val="20"/>
              </w:rPr>
              <w:t>Approval recorded in Observation Register</w:t>
            </w:r>
          </w:p>
        </w:tc>
      </w:tr>
    </w:tbl>
    <w:p/>
    <w:p>
      <w:pPr>
        <w:spacing w:before="120" w:after="40"/>
      </w:pPr>
      <w:r>
        <w:rPr>
          <w:b/>
          <w:color w:val="4A90B0"/>
          <w:sz w:val="22"/>
        </w:rPr>
        <w:t>5.7 Archival</w:t>
      </w:r>
    </w:p>
    <w:p>
      <w:pPr>
        <w:spacing w:before="20" w:after="20"/>
      </w:pPr>
      <w:r>
        <w:rPr>
          <w:sz w:val="20"/>
        </w:rPr>
        <w:t>Closed observations shall be archived after 7 years from closure date in accordance with the bank's records retention policy (POL-REC-001).</w:t>
      </w:r>
    </w:p>
    <w:p>
      <w:pPr>
        <w:spacing w:before="160" w:after="60"/>
      </w:pPr>
      <w:r>
        <w:rPr>
          <w:b/>
          <w:color w:val="3A7CA5"/>
          <w:sz w:val="26"/>
        </w:rPr>
        <w:t>6. ROOT CAUSE ANALYSIS METHODOLOGY</w:t>
      </w:r>
    </w:p>
    <w:p>
      <w:pPr>
        <w:spacing w:before="20" w:after="20"/>
      </w:pPr>
      <w:r>
        <w:rPr>
          <w:sz w:val="20"/>
        </w:rPr>
        <w:t xml:space="preserve">The following methodologies are approved for use at </w:t>
      </w:r>
      <w:r>
        <w:rPr>
          <w:b/>
          <w:sz w:val="20"/>
        </w:rPr>
        <w:t>Bharat Mercantile Bank Limited</w:t>
      </w:r>
      <w:r>
        <w:rPr>
          <w:sz w:val="20"/>
        </w:rPr>
        <w:t>:</w:t>
      </w:r>
    </w:p>
    <w:p>
      <w:pPr>
        <w:spacing w:before="120" w:after="40"/>
      </w:pPr>
      <w:r>
        <w:rPr>
          <w:b/>
          <w:color w:val="4A90B0"/>
          <w:sz w:val="22"/>
        </w:rPr>
        <w:t>6.1 5-Why Analysis</w:t>
      </w:r>
    </w:p>
    <w:p>
      <w:pPr>
        <w:spacing w:before="20" w:after="20"/>
      </w:pPr>
      <w:r>
        <w:rPr>
          <w:sz w:val="20"/>
        </w:rPr>
        <w:t>A linear questioning technique that drills down from symptom to root cause by repeatedly asking "Why?" until the fundamental process or system deficiency is revealed. Each answer forms the basis for the next question. The analysis shall traverse at least five levels but may continue until no further actionable cause can be identified.</w:t>
      </w:r>
    </w:p>
    <w:p>
      <w:pPr>
        <w:spacing w:before="120" w:after="40"/>
      </w:pPr>
      <w:r>
        <w:rPr>
          <w:b/>
          <w:color w:val="4A90B0"/>
          <w:sz w:val="22"/>
        </w:rPr>
        <w:t>6.2 Fishbone (Ishikawa) Diagram</w:t>
      </w:r>
    </w:p>
    <w:p>
      <w:pPr>
        <w:spacing w:before="20" w:after="20"/>
      </w:pPr>
      <w:r>
        <w:rPr>
          <w:sz w:val="20"/>
        </w:rPr>
        <w:t>A visual brainstorming tool that categorizes potential causes into six standard categories (People, Process, Technology, Environment, Measurement, Materials) to identify interactions and systemic contributors.</w:t>
      </w:r>
    </w:p>
    <w:p>
      <w:pPr>
        <w:spacing w:before="120" w:after="40"/>
      </w:pPr>
      <w:r>
        <w:rPr>
          <w:b/>
          <w:color w:val="4A90B0"/>
          <w:sz w:val="22"/>
        </w:rPr>
        <w:t>6.3 Change Analysis</w:t>
      </w:r>
    </w:p>
    <w:p>
      <w:pPr>
        <w:spacing w:before="20" w:after="20"/>
      </w:pPr>
      <w:r>
        <w:rPr>
          <w:sz w:val="20"/>
        </w:rPr>
        <w:t>Used when the observation relates to a change in state (e.g., a previously compliant process became non-compliant). The analysis compares the state before and after the change to pinpoint the causative factor.</w:t>
      </w:r>
    </w:p>
    <w:p>
      <w:pPr>
        <w:spacing w:before="160" w:after="60"/>
      </w:pPr>
      <w:r>
        <w:rPr>
          <w:b/>
          <w:color w:val="3A7CA5"/>
          <w:sz w:val="26"/>
        </w:rPr>
        <w:t>7. CLOSURE CRITERIA</w:t>
      </w:r>
    </w:p>
    <w:p>
      <w:pPr>
        <w:spacing w:before="20" w:after="20"/>
      </w:pPr>
      <w:r>
        <w:rPr>
          <w:sz w:val="20"/>
        </w:rPr>
        <w:t xml:space="preserve">An observation shall be considered eligible for closure only when </w:t>
      </w:r>
      <w:r>
        <w:rPr>
          <w:b/>
          <w:sz w:val="20"/>
        </w:rPr>
        <w:t>all</w:t>
      </w:r>
      <w:r>
        <w:rPr>
          <w:sz w:val="20"/>
        </w:rPr>
        <w:t xml:space="preserve"> of the following criteria are satisfied: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Criteria ID</w:t>
            </w:r>
          </w:p>
        </w:tc>
        <w:tc>
          <w:tcPr>
            <w:tcW w:type="dxa" w:w="3135"/>
            <w:shd w:fill="1B3A5C"/>
          </w:tcPr>
          <w:p>
            <w:pPr>
              <w:spacing w:before="40" w:after="40"/>
            </w:pPr>
            <w:r>
              <w:rPr>
                <w:b/>
                <w:color w:val="FFFFFF"/>
                <w:sz w:val="20"/>
              </w:rPr>
            </w:r>
            <w:r>
              <w:rPr>
                <w:b/>
                <w:color w:val="FFFFFF"/>
                <w:sz w:val="20"/>
              </w:rPr>
              <w:t>Criteria Description</w:t>
            </w:r>
          </w:p>
        </w:tc>
        <w:tc>
          <w:tcPr>
            <w:tcW w:type="dxa" w:w="3135"/>
            <w:shd w:fill="1B3A5C"/>
          </w:tcPr>
          <w:p>
            <w:pPr>
              <w:spacing w:before="40" w:after="40"/>
            </w:pPr>
            <w:r>
              <w:rPr>
                <w:b/>
                <w:color w:val="FFFFFF"/>
                <w:sz w:val="20"/>
              </w:rPr>
            </w:r>
            <w:r>
              <w:rPr>
                <w:b/>
                <w:color w:val="FFFFFF"/>
                <w:sz w:val="20"/>
              </w:rPr>
              <w:t>Evidence Required</w:t>
            </w:r>
          </w:p>
        </w:tc>
      </w:tr>
      <w:tr>
        <w:tc>
          <w:tcPr>
            <w:tcW w:type="dxa" w:w="3135"/>
          </w:tcPr>
          <w:p>
            <w:pPr>
              <w:spacing w:before="40" w:after="40"/>
            </w:pPr>
            <w:r>
              <w:rPr>
                <w:sz w:val="20"/>
              </w:rPr>
            </w:r>
            <w:r>
              <w:rPr>
                <w:sz w:val="20"/>
              </w:rPr>
              <w:t>CC-01</w:t>
            </w:r>
          </w:p>
        </w:tc>
        <w:tc>
          <w:tcPr>
            <w:tcW w:type="dxa" w:w="3135"/>
          </w:tcPr>
          <w:p>
            <w:pPr>
              <w:spacing w:before="40" w:after="40"/>
            </w:pPr>
            <w:r>
              <w:rPr>
                <w:sz w:val="20"/>
              </w:rPr>
            </w:r>
            <w:r>
              <w:rPr>
                <w:sz w:val="20"/>
              </w:rPr>
              <w:t>Root cause has been identified using an approved methodology and documented in the RCA template (DI-02-04).</w:t>
            </w:r>
          </w:p>
        </w:tc>
        <w:tc>
          <w:tcPr>
            <w:tcW w:type="dxa" w:w="3135"/>
          </w:tcPr>
          <w:p>
            <w:pPr>
              <w:spacing w:before="40" w:after="40"/>
            </w:pPr>
            <w:r>
              <w:rPr>
                <w:sz w:val="20"/>
              </w:rPr>
            </w:r>
            <w:r>
              <w:rPr>
                <w:sz w:val="20"/>
              </w:rPr>
              <w:t>Signed RCA document</w:t>
            </w:r>
          </w:p>
        </w:tc>
      </w:tr>
      <w:tr>
        <w:tc>
          <w:tcPr>
            <w:tcW w:type="dxa" w:w="3135"/>
            <w:shd w:fill="F2F7FB"/>
          </w:tcPr>
          <w:p>
            <w:pPr>
              <w:spacing w:before="40" w:after="40"/>
            </w:pPr>
            <w:r>
              <w:rPr>
                <w:sz w:val="20"/>
              </w:rPr>
            </w:r>
            <w:r>
              <w:rPr>
                <w:sz w:val="20"/>
              </w:rPr>
              <w:t>CC-02</w:t>
            </w:r>
          </w:p>
        </w:tc>
        <w:tc>
          <w:tcPr>
            <w:tcW w:type="dxa" w:w="3135"/>
            <w:shd w:fill="F2F7FB"/>
          </w:tcPr>
          <w:p>
            <w:pPr>
              <w:spacing w:before="40" w:after="40"/>
            </w:pPr>
            <w:r>
              <w:rPr>
                <w:sz w:val="20"/>
              </w:rPr>
            </w:r>
            <w:r>
              <w:rPr>
                <w:sz w:val="20"/>
              </w:rPr>
              <w:t>All corrective actions specified in the CAPA plan have been executed and verified.</w:t>
            </w:r>
          </w:p>
        </w:tc>
        <w:tc>
          <w:tcPr>
            <w:tcW w:type="dxa" w:w="3135"/>
            <w:shd w:fill="F2F7FB"/>
          </w:tcPr>
          <w:p>
            <w:pPr>
              <w:spacing w:before="40" w:after="40"/>
            </w:pPr>
            <w:r>
              <w:rPr>
                <w:sz w:val="20"/>
              </w:rPr>
            </w:r>
            <w:r>
              <w:rPr>
                <w:sz w:val="20"/>
              </w:rPr>
              <w:t>Evidence repository with checklist</w:t>
            </w:r>
          </w:p>
        </w:tc>
      </w:tr>
      <w:tr>
        <w:tc>
          <w:tcPr>
            <w:tcW w:type="dxa" w:w="3135"/>
          </w:tcPr>
          <w:p>
            <w:pPr>
              <w:spacing w:before="40" w:after="40"/>
            </w:pPr>
            <w:r>
              <w:rPr>
                <w:sz w:val="20"/>
              </w:rPr>
            </w:r>
            <w:r>
              <w:rPr>
                <w:sz w:val="20"/>
              </w:rPr>
              <w:t>CC-03</w:t>
            </w:r>
          </w:p>
        </w:tc>
        <w:tc>
          <w:tcPr>
            <w:tcW w:type="dxa" w:w="3135"/>
          </w:tcPr>
          <w:p>
            <w:pPr>
              <w:spacing w:before="40" w:after="40"/>
            </w:pPr>
            <w:r>
              <w:rPr>
                <w:sz w:val="20"/>
              </w:rPr>
            </w:r>
            <w:r>
              <w:rPr>
                <w:sz w:val="20"/>
              </w:rPr>
              <w:t>Effectiveness test (for High risk) confirms that the control is operating as intended and the root cause has been eliminated.</w:t>
            </w:r>
          </w:p>
        </w:tc>
        <w:tc>
          <w:tcPr>
            <w:tcW w:type="dxa" w:w="3135"/>
          </w:tcPr>
          <w:p>
            <w:pPr>
              <w:spacing w:before="40" w:after="40"/>
            </w:pPr>
            <w:r>
              <w:rPr>
                <w:sz w:val="20"/>
              </w:rPr>
            </w:r>
            <w:r>
              <w:rPr>
                <w:sz w:val="20"/>
              </w:rPr>
              <w:t>Test of Effectiveness (ToE) report</w:t>
            </w:r>
          </w:p>
        </w:tc>
      </w:tr>
      <w:tr>
        <w:tc>
          <w:tcPr>
            <w:tcW w:type="dxa" w:w="3135"/>
            <w:shd w:fill="F2F7FB"/>
          </w:tcPr>
          <w:p>
            <w:pPr>
              <w:spacing w:before="40" w:after="40"/>
            </w:pPr>
            <w:r>
              <w:rPr>
                <w:sz w:val="20"/>
              </w:rPr>
            </w:r>
            <w:r>
              <w:rPr>
                <w:sz w:val="20"/>
              </w:rPr>
              <w:t>CC-04</w:t>
            </w:r>
          </w:p>
        </w:tc>
        <w:tc>
          <w:tcPr>
            <w:tcW w:type="dxa" w:w="3135"/>
            <w:shd w:fill="F2F7FB"/>
          </w:tcPr>
          <w:p>
            <w:pPr>
              <w:spacing w:before="40" w:after="40"/>
            </w:pPr>
            <w:r>
              <w:rPr>
                <w:sz w:val="20"/>
              </w:rPr>
            </w:r>
            <w:r>
              <w:rPr>
                <w:sz w:val="20"/>
              </w:rPr>
              <w:t>Preventive measures have been implemented to prevent recurrence.</w:t>
            </w:r>
          </w:p>
        </w:tc>
        <w:tc>
          <w:tcPr>
            <w:tcW w:type="dxa" w:w="3135"/>
            <w:shd w:fill="F2F7FB"/>
          </w:tcPr>
          <w:p>
            <w:pPr>
              <w:spacing w:before="40" w:after="40"/>
            </w:pPr>
            <w:r>
              <w:rPr>
                <w:sz w:val="20"/>
              </w:rPr>
            </w:r>
            <w:r>
              <w:rPr>
                <w:sz w:val="20"/>
              </w:rPr>
              <w:t>SOP update, training records, or control automation evidence</w:t>
            </w:r>
          </w:p>
        </w:tc>
      </w:tr>
      <w:tr>
        <w:tc>
          <w:tcPr>
            <w:tcW w:type="dxa" w:w="3135"/>
          </w:tcPr>
          <w:p>
            <w:pPr>
              <w:spacing w:before="40" w:after="40"/>
            </w:pPr>
            <w:r>
              <w:rPr>
                <w:sz w:val="20"/>
              </w:rPr>
            </w:r>
            <w:r>
              <w:rPr>
                <w:sz w:val="20"/>
              </w:rPr>
              <w:t>CC-05</w:t>
            </w:r>
          </w:p>
        </w:tc>
        <w:tc>
          <w:tcPr>
            <w:tcW w:type="dxa" w:w="3135"/>
          </w:tcPr>
          <w:p>
            <w:pPr>
              <w:spacing w:before="40" w:after="40"/>
            </w:pPr>
            <w:r>
              <w:rPr>
                <w:sz w:val="20"/>
              </w:rPr>
            </w:r>
            <w:r>
              <w:rPr>
                <w:sz w:val="20"/>
              </w:rPr>
              <w:t>Residual risk (if any) has been formally accepted by the authorized risk owner via RAN.</w:t>
            </w:r>
          </w:p>
        </w:tc>
        <w:tc>
          <w:tcPr>
            <w:tcW w:type="dxa" w:w="3135"/>
          </w:tcPr>
          <w:p>
            <w:pPr>
              <w:spacing w:before="40" w:after="40"/>
            </w:pPr>
            <w:r>
              <w:rPr>
                <w:sz w:val="20"/>
              </w:rPr>
            </w:r>
            <w:r>
              <w:rPr>
                <w:sz w:val="20"/>
              </w:rPr>
              <w:t>Signed Risk Acceptance Note (RAN)</w:t>
            </w:r>
          </w:p>
        </w:tc>
      </w:tr>
      <w:tr>
        <w:tc>
          <w:tcPr>
            <w:tcW w:type="dxa" w:w="3135"/>
            <w:shd w:fill="F2F7FB"/>
          </w:tcPr>
          <w:p>
            <w:pPr>
              <w:spacing w:before="40" w:after="40"/>
            </w:pPr>
            <w:r>
              <w:rPr>
                <w:sz w:val="20"/>
              </w:rPr>
            </w:r>
            <w:r>
              <w:rPr>
                <w:sz w:val="20"/>
              </w:rPr>
              <w:t>CC-06</w:t>
            </w:r>
          </w:p>
        </w:tc>
        <w:tc>
          <w:tcPr>
            <w:tcW w:type="dxa" w:w="3135"/>
            <w:shd w:fill="F2F7FB"/>
          </w:tcPr>
          <w:p>
            <w:pPr>
              <w:spacing w:before="40" w:after="40"/>
            </w:pPr>
            <w:r>
              <w:rPr>
                <w:sz w:val="20"/>
              </w:rPr>
            </w:r>
            <w:r>
              <w:rPr>
                <w:sz w:val="20"/>
              </w:rPr>
              <w:t>Closure evidence has been reviewed by IS Audit Division and found satisfactory.</w:t>
            </w:r>
          </w:p>
        </w:tc>
        <w:tc>
          <w:tcPr>
            <w:tcW w:type="dxa" w:w="3135"/>
            <w:shd w:fill="F2F7FB"/>
          </w:tcPr>
          <w:p>
            <w:pPr>
              <w:spacing w:before="40" w:after="40"/>
            </w:pPr>
            <w:r>
              <w:rPr>
                <w:sz w:val="20"/>
              </w:rPr>
            </w:r>
            <w:r>
              <w:rPr>
                <w:sz w:val="20"/>
              </w:rPr>
              <w:t>Closure Verification Report (CVR)</w:t>
            </w:r>
          </w:p>
        </w:tc>
      </w:tr>
      <w:tr>
        <w:tc>
          <w:tcPr>
            <w:tcW w:type="dxa" w:w="3135"/>
          </w:tcPr>
          <w:p>
            <w:pPr>
              <w:spacing w:before="40" w:after="40"/>
            </w:pPr>
            <w:r>
              <w:rPr>
                <w:sz w:val="20"/>
              </w:rPr>
            </w:r>
            <w:r>
              <w:rPr>
                <w:sz w:val="20"/>
              </w:rPr>
              <w:t>CC-07</w:t>
            </w:r>
          </w:p>
        </w:tc>
        <w:tc>
          <w:tcPr>
            <w:tcW w:type="dxa" w:w="3135"/>
          </w:tcPr>
          <w:p>
            <w:pPr>
              <w:spacing w:before="40" w:after="40"/>
            </w:pPr>
            <w:r>
              <w:rPr>
                <w:sz w:val="20"/>
              </w:rPr>
            </w:r>
            <w:r>
              <w:rPr>
                <w:sz w:val="20"/>
              </w:rPr>
              <w:t>Observation closure has been approved by the appropriate approving authority per Section 5.6.</w:t>
            </w:r>
          </w:p>
        </w:tc>
        <w:tc>
          <w:tcPr>
            <w:tcW w:type="dxa" w:w="3135"/>
          </w:tcPr>
          <w:p>
            <w:pPr>
              <w:spacing w:before="40" w:after="40"/>
            </w:pPr>
            <w:r>
              <w:rPr>
                <w:sz w:val="20"/>
              </w:rPr>
            </w:r>
            <w:r>
              <w:rPr>
                <w:sz w:val="20"/>
              </w:rPr>
              <w:t>Approval record or minutes of meeting</w:t>
            </w:r>
          </w:p>
        </w:tc>
      </w:tr>
    </w:tbl>
    <w:p/>
    <w:p>
      <w:pPr>
        <w:spacing w:before="160" w:after="60"/>
      </w:pPr>
      <w:r>
        <w:rPr>
          <w:b/>
          <w:color w:val="3A7CA5"/>
          <w:sz w:val="26"/>
        </w:rPr>
        <w:t>8. ESCALATION MATRIX</w:t>
      </w:r>
    </w:p>
    <w:p>
      <w:pPr>
        <w:spacing w:before="20" w:after="20"/>
      </w:pPr>
      <w:r>
        <w:rPr>
          <w:sz w:val="20"/>
        </w:rPr>
        <w:t>Observations that exceed target closure date or face impediments shall be escalated per the following matrix: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Overdue Period</w:t>
            </w:r>
          </w:p>
        </w:tc>
        <w:tc>
          <w:tcPr>
            <w:tcW w:type="dxa" w:w="2351"/>
            <w:shd w:fill="1B3A5C"/>
          </w:tcPr>
          <w:p>
            <w:pPr>
              <w:spacing w:before="40" w:after="40"/>
            </w:pPr>
            <w:r>
              <w:rPr>
                <w:b/>
                <w:color w:val="FFFFFF"/>
                <w:sz w:val="20"/>
              </w:rPr>
            </w:r>
            <w:r>
              <w:rPr>
                <w:b/>
                <w:color w:val="FFFFFF"/>
                <w:sz w:val="20"/>
              </w:rPr>
              <w:t>Report To</w:t>
            </w:r>
          </w:p>
        </w:tc>
        <w:tc>
          <w:tcPr>
            <w:tcW w:type="dxa" w:w="2351"/>
            <w:shd w:fill="1B3A5C"/>
          </w:tcPr>
          <w:p>
            <w:pPr>
              <w:spacing w:before="40" w:after="40"/>
            </w:pPr>
            <w:r>
              <w:rPr>
                <w:b/>
                <w:color w:val="FFFFFF"/>
                <w:sz w:val="20"/>
              </w:rPr>
            </w:r>
            <w:r>
              <w:rPr>
                <w:b/>
                <w:color w:val="FFFFFF"/>
                <w:sz w:val="20"/>
              </w:rPr>
              <w:t>Frequency</w:t>
            </w:r>
          </w:p>
        </w:tc>
        <w:tc>
          <w:tcPr>
            <w:tcW w:type="dxa" w:w="2351"/>
            <w:shd w:fill="1B3A5C"/>
          </w:tcPr>
          <w:p>
            <w:pPr>
              <w:spacing w:before="40" w:after="40"/>
            </w:pPr>
            <w:r>
              <w:rPr>
                <w:b/>
                <w:color w:val="FFFFFF"/>
                <w:sz w:val="20"/>
              </w:rPr>
            </w:r>
            <w:r>
              <w:rPr>
                <w:b/>
                <w:color w:val="FFFFFF"/>
                <w:sz w:val="20"/>
              </w:rPr>
              <w:t>Action</w:t>
            </w:r>
          </w:p>
        </w:tc>
      </w:tr>
      <w:tr>
        <w:tc>
          <w:tcPr>
            <w:tcW w:type="dxa" w:w="2351"/>
          </w:tcPr>
          <w:p>
            <w:pPr>
              <w:spacing w:before="40" w:after="40"/>
            </w:pPr>
            <w:r>
              <w:rPr>
                <w:sz w:val="20"/>
              </w:rPr>
            </w:r>
            <w:r>
              <w:rPr>
                <w:sz w:val="20"/>
              </w:rPr>
              <w:t>0-30 days past target</w:t>
            </w:r>
          </w:p>
        </w:tc>
        <w:tc>
          <w:tcPr>
            <w:tcW w:type="dxa" w:w="2351"/>
          </w:tcPr>
          <w:p>
            <w:pPr>
              <w:spacing w:before="40" w:after="40"/>
            </w:pPr>
            <w:r>
              <w:rPr>
                <w:sz w:val="20"/>
              </w:rPr>
            </w:r>
            <w:r>
              <w:rPr>
                <w:sz w:val="20"/>
              </w:rPr>
              <w:t>Observation Owner's Department Head</w:t>
            </w:r>
          </w:p>
        </w:tc>
        <w:tc>
          <w:tcPr>
            <w:tcW w:type="dxa" w:w="2351"/>
          </w:tcPr>
          <w:p>
            <w:pPr>
              <w:spacing w:before="40" w:after="40"/>
            </w:pPr>
            <w:r>
              <w:rPr>
                <w:sz w:val="20"/>
              </w:rPr>
            </w:r>
            <w:r>
              <w:rPr>
                <w:sz w:val="20"/>
              </w:rPr>
              <w:t>Weekly</w:t>
            </w:r>
          </w:p>
        </w:tc>
        <w:tc>
          <w:tcPr>
            <w:tcW w:type="dxa" w:w="2351"/>
          </w:tcPr>
          <w:p>
            <w:pPr>
              <w:spacing w:before="40" w:after="40"/>
            </w:pPr>
            <w:r>
              <w:rPr>
                <w:sz w:val="20"/>
              </w:rPr>
            </w:r>
            <w:r>
              <w:rPr>
                <w:sz w:val="20"/>
              </w:rPr>
              <w:t>Status review meeting; identify blockers</w:t>
            </w:r>
          </w:p>
        </w:tc>
      </w:tr>
      <w:tr>
        <w:tc>
          <w:tcPr>
            <w:tcW w:type="dxa" w:w="2351"/>
            <w:shd w:fill="F2F7FB"/>
          </w:tcPr>
          <w:p>
            <w:pPr>
              <w:spacing w:before="40" w:after="40"/>
            </w:pPr>
            <w:r>
              <w:rPr>
                <w:sz w:val="20"/>
              </w:rPr>
            </w:r>
            <w:r>
              <w:rPr>
                <w:sz w:val="20"/>
              </w:rPr>
              <w:t>31-60 days past target</w:t>
            </w:r>
          </w:p>
        </w:tc>
        <w:tc>
          <w:tcPr>
            <w:tcW w:type="dxa" w:w="2351"/>
            <w:shd w:fill="F2F7FB"/>
          </w:tcPr>
          <w:p>
            <w:pPr>
              <w:spacing w:before="40" w:after="40"/>
            </w:pPr>
            <w:r>
              <w:rPr>
                <w:sz w:val="20"/>
              </w:rPr>
            </w:r>
            <w:r>
              <w:rPr>
                <w:sz w:val="20"/>
              </w:rPr>
              <w:t>Business Unit Head / CISO</w:t>
            </w:r>
          </w:p>
        </w:tc>
        <w:tc>
          <w:tcPr>
            <w:tcW w:type="dxa" w:w="2351"/>
            <w:shd w:fill="F2F7FB"/>
          </w:tcPr>
          <w:p>
            <w:pPr>
              <w:spacing w:before="40" w:after="40"/>
            </w:pPr>
            <w:r>
              <w:rPr>
                <w:sz w:val="20"/>
              </w:rPr>
            </w:r>
            <w:r>
              <w:rPr>
                <w:sz w:val="20"/>
              </w:rPr>
              <w:t>Weekly</w:t>
            </w:r>
          </w:p>
        </w:tc>
        <w:tc>
          <w:tcPr>
            <w:tcW w:type="dxa" w:w="2351"/>
            <w:shd w:fill="F2F7FB"/>
          </w:tcPr>
          <w:p>
            <w:pPr>
              <w:spacing w:before="40" w:after="40"/>
            </w:pPr>
            <w:r>
              <w:rPr>
                <w:sz w:val="20"/>
              </w:rPr>
            </w:r>
            <w:r>
              <w:rPr>
                <w:sz w:val="20"/>
              </w:rPr>
              <w:t>Formal escalation memo; resource reallocation review</w:t>
            </w:r>
          </w:p>
        </w:tc>
      </w:tr>
      <w:tr>
        <w:tc>
          <w:tcPr>
            <w:tcW w:type="dxa" w:w="2351"/>
          </w:tcPr>
          <w:p>
            <w:pPr>
              <w:spacing w:before="40" w:after="40"/>
            </w:pPr>
            <w:r>
              <w:rPr>
                <w:sz w:val="20"/>
              </w:rPr>
            </w:r>
            <w:r>
              <w:rPr>
                <w:sz w:val="20"/>
              </w:rPr>
              <w:t>61-90 days past target</w:t>
            </w:r>
          </w:p>
        </w:tc>
        <w:tc>
          <w:tcPr>
            <w:tcW w:type="dxa" w:w="2351"/>
          </w:tcPr>
          <w:p>
            <w:pPr>
              <w:spacing w:before="40" w:after="40"/>
            </w:pPr>
            <w:r>
              <w:rPr>
                <w:sz w:val="20"/>
              </w:rPr>
            </w:r>
            <w:r>
              <w:rPr>
                <w:sz w:val="20"/>
              </w:rPr>
              <w:t>Board Audit Committee</w:t>
            </w:r>
          </w:p>
        </w:tc>
        <w:tc>
          <w:tcPr>
            <w:tcW w:type="dxa" w:w="2351"/>
          </w:tcPr>
          <w:p>
            <w:pPr>
              <w:spacing w:before="40" w:after="40"/>
            </w:pPr>
            <w:r>
              <w:rPr>
                <w:sz w:val="20"/>
              </w:rPr>
            </w:r>
            <w:r>
              <w:rPr>
                <w:sz w:val="20"/>
              </w:rPr>
              <w:t>Per committee meeting</w:t>
            </w:r>
          </w:p>
        </w:tc>
        <w:tc>
          <w:tcPr>
            <w:tcW w:type="dxa" w:w="2351"/>
          </w:tcPr>
          <w:p>
            <w:pPr>
              <w:spacing w:before="40" w:after="40"/>
            </w:pPr>
            <w:r>
              <w:rPr>
                <w:sz w:val="20"/>
              </w:rPr>
            </w:r>
            <w:r>
              <w:rPr>
                <w:sz w:val="20"/>
              </w:rPr>
              <w:t>Agenda item; management representation letter</w:t>
            </w:r>
          </w:p>
        </w:tc>
      </w:tr>
      <w:tr>
        <w:tc>
          <w:tcPr>
            <w:tcW w:type="dxa" w:w="2351"/>
            <w:shd w:fill="F2F7FB"/>
          </w:tcPr>
          <w:p>
            <w:pPr>
              <w:spacing w:before="40" w:after="40"/>
            </w:pPr>
            <w:r>
              <w:rPr>
                <w:sz w:val="20"/>
              </w:rPr>
            </w:r>
            <w:r>
              <w:rPr>
                <w:sz w:val="20"/>
              </w:rPr>
              <w:t>&gt;90 days past target</w:t>
            </w:r>
          </w:p>
        </w:tc>
        <w:tc>
          <w:tcPr>
            <w:tcW w:type="dxa" w:w="2351"/>
            <w:shd w:fill="F2F7FB"/>
          </w:tcPr>
          <w:p>
            <w:pPr>
              <w:spacing w:before="40" w:after="40"/>
            </w:pPr>
            <w:r>
              <w:rPr>
                <w:sz w:val="20"/>
              </w:rPr>
            </w:r>
            <w:r>
              <w:rPr>
                <w:sz w:val="20"/>
              </w:rPr>
              <w:t>Board of Directors</w:t>
            </w:r>
          </w:p>
        </w:tc>
        <w:tc>
          <w:tcPr>
            <w:tcW w:type="dxa" w:w="2351"/>
            <w:shd w:fill="F2F7FB"/>
          </w:tcPr>
          <w:p>
            <w:pPr>
              <w:spacing w:before="40" w:after="40"/>
            </w:pPr>
            <w:r>
              <w:rPr>
                <w:sz w:val="20"/>
              </w:rPr>
            </w:r>
            <w:r>
              <w:rPr>
                <w:sz w:val="20"/>
              </w:rPr>
              <w:t>Per board meeting</w:t>
            </w:r>
          </w:p>
        </w:tc>
        <w:tc>
          <w:tcPr>
            <w:tcW w:type="dxa" w:w="2351"/>
            <w:shd w:fill="F2F7FB"/>
          </w:tcPr>
          <w:p>
            <w:pPr>
              <w:spacing w:before="40" w:after="40"/>
            </w:pPr>
            <w:r>
              <w:rPr>
                <w:sz w:val="20"/>
              </w:rPr>
            </w:r>
            <w:r>
              <w:rPr>
                <w:sz w:val="20"/>
              </w:rPr>
              <w:t>RBI reporting trigger; regulatory escalation</w:t>
            </w:r>
          </w:p>
        </w:tc>
      </w:tr>
    </w:tbl>
    <w:p/>
    <w:p>
      <w:pPr>
        <w:spacing w:before="160" w:after="60"/>
      </w:pPr>
      <w:r>
        <w:rPr>
          <w:b/>
          <w:color w:val="3A7CA5"/>
          <w:sz w:val="26"/>
        </w:rPr>
        <w:t>9. AGING AND REPORTING</w:t>
      </w:r>
    </w:p>
    <w:p>
      <w:pPr>
        <w:spacing w:before="20" w:after="20"/>
      </w:pPr>
      <w:r>
        <w:rPr>
          <w:sz w:val="20"/>
        </w:rPr>
        <w:t>The IS Audit Division shall generate the following reports on a recurring basis: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Report</w:t>
            </w:r>
          </w:p>
        </w:tc>
        <w:tc>
          <w:tcPr>
            <w:tcW w:type="dxa" w:w="3135"/>
            <w:shd w:fill="1B3A5C"/>
          </w:tcPr>
          <w:p>
            <w:pPr>
              <w:spacing w:before="40" w:after="40"/>
            </w:pPr>
            <w:r>
              <w:rPr>
                <w:b/>
                <w:color w:val="FFFFFF"/>
                <w:sz w:val="20"/>
              </w:rPr>
            </w:r>
            <w:r>
              <w:rPr>
                <w:b/>
                <w:color w:val="FFFFFF"/>
                <w:sz w:val="20"/>
              </w:rPr>
              <w:t>Frequency</w:t>
            </w:r>
          </w:p>
        </w:tc>
        <w:tc>
          <w:tcPr>
            <w:tcW w:type="dxa" w:w="3135"/>
            <w:shd w:fill="1B3A5C"/>
          </w:tcPr>
          <w:p>
            <w:pPr>
              <w:spacing w:before="40" w:after="40"/>
            </w:pPr>
            <w:r>
              <w:rPr>
                <w:b/>
                <w:color w:val="FFFFFF"/>
                <w:sz w:val="20"/>
              </w:rPr>
            </w:r>
            <w:r>
              <w:rPr>
                <w:b/>
                <w:color w:val="FFFFFF"/>
                <w:sz w:val="20"/>
              </w:rPr>
              <w:t>Audience</w:t>
            </w:r>
          </w:p>
        </w:tc>
      </w:tr>
      <w:tr>
        <w:tc>
          <w:tcPr>
            <w:tcW w:type="dxa" w:w="3135"/>
          </w:tcPr>
          <w:p>
            <w:pPr>
              <w:spacing w:before="40" w:after="40"/>
            </w:pPr>
            <w:r>
              <w:rPr>
                <w:sz w:val="20"/>
              </w:rPr>
            </w:r>
            <w:r>
              <w:rPr>
                <w:sz w:val="20"/>
              </w:rPr>
              <w:t>Observation Aging Report</w:t>
            </w:r>
          </w:p>
        </w:tc>
        <w:tc>
          <w:tcPr>
            <w:tcW w:type="dxa" w:w="3135"/>
          </w:tcPr>
          <w:p>
            <w:pPr>
              <w:spacing w:before="40" w:after="40"/>
            </w:pPr>
            <w:r>
              <w:rPr>
                <w:sz w:val="20"/>
              </w:rPr>
            </w:r>
            <w:r>
              <w:rPr>
                <w:sz w:val="20"/>
              </w:rPr>
              <w:t>Monthly</w:t>
            </w:r>
          </w:p>
        </w:tc>
        <w:tc>
          <w:tcPr>
            <w:tcW w:type="dxa" w:w="3135"/>
          </w:tcPr>
          <w:p>
            <w:pPr>
              <w:spacing w:before="40" w:after="40"/>
            </w:pPr>
            <w:r>
              <w:rPr>
                <w:sz w:val="20"/>
              </w:rPr>
            </w:r>
            <w:r>
              <w:rPr>
                <w:sz w:val="20"/>
              </w:rPr>
              <w:t>CISO, Business Unit Heads</w:t>
            </w:r>
          </w:p>
        </w:tc>
      </w:tr>
      <w:tr>
        <w:tc>
          <w:tcPr>
            <w:tcW w:type="dxa" w:w="3135"/>
            <w:shd w:fill="F2F7FB"/>
          </w:tcPr>
          <w:p>
            <w:pPr>
              <w:spacing w:before="40" w:after="40"/>
            </w:pPr>
            <w:r>
              <w:rPr>
                <w:sz w:val="20"/>
              </w:rPr>
            </w:r>
            <w:r>
              <w:rPr>
                <w:sz w:val="20"/>
              </w:rPr>
              <w:t>Closure Status Dashboard</w:t>
            </w:r>
          </w:p>
        </w:tc>
        <w:tc>
          <w:tcPr>
            <w:tcW w:type="dxa" w:w="3135"/>
            <w:shd w:fill="F2F7FB"/>
          </w:tcPr>
          <w:p>
            <w:pPr>
              <w:spacing w:before="40" w:after="40"/>
            </w:pPr>
            <w:r>
              <w:rPr>
                <w:sz w:val="20"/>
              </w:rPr>
            </w:r>
            <w:r>
              <w:rPr>
                <w:sz w:val="20"/>
              </w:rPr>
              <w:t>Weekly</w:t>
            </w:r>
          </w:p>
        </w:tc>
        <w:tc>
          <w:tcPr>
            <w:tcW w:type="dxa" w:w="3135"/>
            <w:shd w:fill="F2F7FB"/>
          </w:tcPr>
          <w:p>
            <w:pPr>
              <w:spacing w:before="40" w:after="40"/>
            </w:pPr>
            <w:r>
              <w:rPr>
                <w:sz w:val="20"/>
              </w:rPr>
            </w:r>
            <w:r>
              <w:rPr>
                <w:sz w:val="20"/>
              </w:rPr>
              <w:t>IS Audit Division, Observation Owners</w:t>
            </w:r>
          </w:p>
        </w:tc>
      </w:tr>
      <w:tr>
        <w:tc>
          <w:tcPr>
            <w:tcW w:type="dxa" w:w="3135"/>
          </w:tcPr>
          <w:p>
            <w:pPr>
              <w:spacing w:before="40" w:after="40"/>
            </w:pPr>
            <w:r>
              <w:rPr>
                <w:sz w:val="20"/>
              </w:rPr>
            </w:r>
            <w:r>
              <w:rPr>
                <w:sz w:val="20"/>
              </w:rPr>
              <w:t>Root Cause Analysis Summary</w:t>
            </w:r>
          </w:p>
        </w:tc>
        <w:tc>
          <w:tcPr>
            <w:tcW w:type="dxa" w:w="3135"/>
          </w:tcPr>
          <w:p>
            <w:pPr>
              <w:spacing w:before="40" w:after="40"/>
            </w:pPr>
            <w:r>
              <w:rPr>
                <w:sz w:val="20"/>
              </w:rPr>
            </w:r>
            <w:r>
              <w:rPr>
                <w:sz w:val="20"/>
              </w:rPr>
              <w:t>Quarterly</w:t>
            </w:r>
          </w:p>
        </w:tc>
        <w:tc>
          <w:tcPr>
            <w:tcW w:type="dxa" w:w="3135"/>
          </w:tcPr>
          <w:p>
            <w:pPr>
              <w:spacing w:before="40" w:after="40"/>
            </w:pPr>
            <w:r>
              <w:rPr>
                <w:sz w:val="20"/>
              </w:rPr>
            </w:r>
            <w:r>
              <w:rPr>
                <w:sz w:val="20"/>
              </w:rPr>
              <w:t>Board Audit Committee</w:t>
            </w:r>
          </w:p>
        </w:tc>
      </w:tr>
      <w:tr>
        <w:tc>
          <w:tcPr>
            <w:tcW w:type="dxa" w:w="3135"/>
            <w:shd w:fill="F2F7FB"/>
          </w:tcPr>
          <w:p>
            <w:pPr>
              <w:spacing w:before="40" w:after="40"/>
            </w:pPr>
            <w:r>
              <w:rPr>
                <w:sz w:val="20"/>
              </w:rPr>
            </w:r>
            <w:r>
              <w:rPr>
                <w:sz w:val="20"/>
              </w:rPr>
              <w:t>Recurring Observation Analysis</w:t>
            </w:r>
          </w:p>
        </w:tc>
        <w:tc>
          <w:tcPr>
            <w:tcW w:type="dxa" w:w="3135"/>
            <w:shd w:fill="F2F7FB"/>
          </w:tcPr>
          <w:p>
            <w:pPr>
              <w:spacing w:before="40" w:after="40"/>
            </w:pPr>
            <w:r>
              <w:rPr>
                <w:sz w:val="20"/>
              </w:rPr>
            </w:r>
            <w:r>
              <w:rPr>
                <w:sz w:val="20"/>
              </w:rPr>
              <w:t>Half-yearly</w:t>
            </w:r>
          </w:p>
        </w:tc>
        <w:tc>
          <w:tcPr>
            <w:tcW w:type="dxa" w:w="3135"/>
            <w:shd w:fill="F2F7FB"/>
          </w:tcPr>
          <w:p>
            <w:pPr>
              <w:spacing w:before="40" w:after="40"/>
            </w:pPr>
            <w:r>
              <w:rPr>
                <w:sz w:val="20"/>
              </w:rPr>
            </w:r>
            <w:r>
              <w:rPr>
                <w:sz w:val="20"/>
              </w:rPr>
              <w:t>Board of Directors</w:t>
            </w:r>
          </w:p>
        </w:tc>
      </w:tr>
      <w:tr>
        <w:tc>
          <w:tcPr>
            <w:tcW w:type="dxa" w:w="3135"/>
          </w:tcPr>
          <w:p>
            <w:pPr>
              <w:spacing w:before="40" w:after="40"/>
            </w:pPr>
            <w:r>
              <w:rPr>
                <w:sz w:val="20"/>
              </w:rPr>
            </w:r>
            <w:r>
              <w:rPr>
                <w:sz w:val="20"/>
              </w:rPr>
              <w:t>Regulatory Reporting Pack</w:t>
            </w:r>
          </w:p>
        </w:tc>
        <w:tc>
          <w:tcPr>
            <w:tcW w:type="dxa" w:w="3135"/>
          </w:tcPr>
          <w:p>
            <w:pPr>
              <w:spacing w:before="40" w:after="40"/>
            </w:pPr>
            <w:r>
              <w:rPr>
                <w:sz w:val="20"/>
              </w:rPr>
            </w:r>
            <w:r>
              <w:rPr>
                <w:sz w:val="20"/>
              </w:rPr>
              <w:t>As required</w:t>
            </w:r>
          </w:p>
        </w:tc>
        <w:tc>
          <w:tcPr>
            <w:tcW w:type="dxa" w:w="3135"/>
          </w:tcPr>
          <w:p>
            <w:pPr>
              <w:spacing w:before="40" w:after="40"/>
            </w:pPr>
            <w:r>
              <w:rPr>
                <w:sz w:val="20"/>
              </w:rPr>
            </w:r>
            <w:r>
              <w:rPr>
                <w:sz w:val="20"/>
              </w:rPr>
              <w:t>RBI / Statutory Auditors</w:t>
            </w:r>
          </w:p>
        </w:tc>
      </w:tr>
    </w:tbl>
    <w:p/>
    <w:p>
      <w:pPr>
        <w:spacing w:before="160" w:after="60"/>
      </w:pPr>
      <w:r>
        <w:rPr>
          <w:b/>
          <w:color w:val="3A7CA5"/>
          <w:sz w:val="26"/>
        </w:rPr>
        <w:t>10. EXCEPTIONS AND DEVIATIONS</w:t>
      </w:r>
    </w:p>
    <w:p>
      <w:pPr>
        <w:spacing w:before="20" w:after="20"/>
      </w:pPr>
      <w:r>
        <w:rPr>
          <w:sz w:val="20"/>
        </w:rPr>
        <w:t>Any deviation from this SOP must be documented as a formal waiver request submitted to the CISO with justification. Waivers for High-risk observations require approval from the Board Audit Committee. All waivers shall be logged in the Exceptions Register (REG-EXC-001) and reviewed during the annual SOP review cycle.</w:t>
      </w:r>
    </w:p>
    <w:p>
      <w:pPr>
        <w:spacing w:before="160" w:after="60"/>
      </w:pPr>
      <w:r>
        <w:rPr>
          <w:b/>
          <w:color w:val="3A7CA5"/>
          <w:sz w:val="26"/>
        </w:rPr>
        <w:t>11. TRAINING AND AWARENESS</w:t>
      </w:r>
    </w:p>
    <w:p>
      <w:pPr>
        <w:spacing w:before="20" w:after="20"/>
      </w:pPr>
      <w:r>
        <w:rPr>
          <w:sz w:val="20"/>
        </w:rPr>
        <w:t>All Observation Owners, Root Cause Analysts, and department heads shall undergo mandatory training on:</w:t>
      </w:r>
    </w:p>
    <w:p>
      <w:pPr>
        <w:spacing w:before="20" w:after="20"/>
        <w:ind w:left="567"/>
      </w:pPr>
      <w:r>
        <w:rPr>
          <w:sz w:val="20"/>
        </w:rPr>
        <w:t xml:space="preserve">  </w:t>
      </w:r>
      <w:r>
        <w:rPr>
          <w:sz w:val="20"/>
        </w:rPr>
        <w:t>RCA methodology and tools (5-Why, Fishbone) - annual.</w:t>
      </w:r>
    </w:p>
    <w:p>
      <w:pPr>
        <w:spacing w:before="20" w:after="20"/>
        <w:ind w:left="567"/>
      </w:pPr>
      <w:r>
        <w:rPr>
          <w:sz w:val="20"/>
        </w:rPr>
        <w:t xml:space="preserve">  </w:t>
      </w:r>
      <w:r>
        <w:rPr>
          <w:sz w:val="20"/>
        </w:rPr>
        <w:t>Closure evidence documentation standards - at induction and annually.</w:t>
      </w:r>
    </w:p>
    <w:p>
      <w:pPr>
        <w:spacing w:before="20" w:after="20"/>
        <w:ind w:left="567"/>
      </w:pPr>
      <w:r>
        <w:rPr>
          <w:sz w:val="20"/>
        </w:rPr>
        <w:t xml:space="preserve">  </w:t>
      </w:r>
      <w:r>
        <w:rPr>
          <w:sz w:val="20"/>
        </w:rPr>
        <w:t>Escalation procedures and reporting timelines - at induction.</w:t>
      </w:r>
    </w:p>
    <w:p>
      <w:pPr>
        <w:spacing w:before="20" w:after="20"/>
      </w:pPr>
      <w:r>
        <w:rPr>
          <w:sz w:val="20"/>
        </w:rPr>
        <w:t>Training records shall be maintained by the Human Resources Division in coordination with the IS Audit Division.</w:t>
      </w:r>
    </w:p>
    <w:p>
      <w:pPr>
        <w:spacing w:before="160" w:after="60"/>
      </w:pPr>
      <w:r>
        <w:rPr>
          <w:b/>
          <w:color w:val="3A7CA5"/>
          <w:sz w:val="26"/>
        </w:rPr>
        <w:t>12. PENALTIES AND NON-COMPLIANCE</w:t>
      </w:r>
    </w:p>
    <w:p>
      <w:pPr>
        <w:spacing w:before="20" w:after="20"/>
      </w:pPr>
      <w:r>
        <w:rPr>
          <w:sz w:val="20"/>
        </w:rPr>
        <w:t>Failure to comply with the timelines and requirements of this SOP may result in:</w:t>
      </w:r>
    </w:p>
    <w:p>
      <w:pPr>
        <w:spacing w:before="20" w:after="20"/>
        <w:ind w:left="567"/>
      </w:pPr>
      <w:r>
        <w:rPr>
          <w:sz w:val="20"/>
        </w:rPr>
        <w:t xml:space="preserve">  </w:t>
      </w:r>
      <w:r>
        <w:rPr>
          <w:sz w:val="20"/>
        </w:rPr>
        <w:t>Escalation to the next level of authority per Section 8.</w:t>
      </w:r>
    </w:p>
    <w:p>
      <w:pPr>
        <w:spacing w:before="20" w:after="20"/>
        <w:ind w:left="567"/>
      </w:pPr>
      <w:r>
        <w:rPr>
          <w:sz w:val="20"/>
        </w:rPr>
        <w:t xml:space="preserve">  </w:t>
      </w:r>
      <w:r>
        <w:rPr>
          <w:sz w:val="20"/>
        </w:rPr>
        <w:t>Notation in the observation owner's performance appraisal for repeated delays.</w:t>
      </w:r>
    </w:p>
    <w:p>
      <w:pPr>
        <w:spacing w:before="20" w:after="20"/>
        <w:ind w:left="567"/>
      </w:pPr>
      <w:r>
        <w:rPr>
          <w:sz w:val="20"/>
        </w:rPr>
        <w:t xml:space="preserve">  </w:t>
      </w:r>
      <w:r>
        <w:rPr>
          <w:sz w:val="20"/>
        </w:rPr>
        <w:t>Reporting to the Board Audit Committee for persistent non-compliance.</w:t>
      </w:r>
    </w:p>
    <w:p>
      <w:pPr>
        <w:spacing w:before="20" w:after="20"/>
        <w:ind w:left="567"/>
      </w:pPr>
      <w:r>
        <w:rPr>
          <w:sz w:val="20"/>
        </w:rPr>
        <w:t xml:space="preserve">  </w:t>
      </w:r>
      <w:r>
        <w:rPr>
          <w:sz w:val="20"/>
        </w:rPr>
        <w:t>Regulatory reporting to RBI for observations exceeding 90 days past target closure.</w:t>
      </w:r>
    </w:p>
    <w:p>
      <w:pPr>
        <w:spacing w:before="160" w:after="60"/>
      </w:pPr>
      <w:r>
        <w:rPr>
          <w:b/>
          <w:color w:val="3A7CA5"/>
          <w:sz w:val="26"/>
        </w:rPr>
        <w:t>13. RELATED DOCUMENTS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Document Reference</w:t>
            </w:r>
          </w:p>
        </w:tc>
        <w:tc>
          <w:tcPr>
            <w:tcW w:type="dxa" w:w="4703"/>
            <w:shd w:fill="1B3A5C"/>
          </w:tcPr>
          <w:p>
            <w:pPr>
              <w:spacing w:before="40" w:after="40"/>
            </w:pPr>
            <w:r>
              <w:rPr>
                <w:b/>
                <w:color w:val="FFFFFF"/>
                <w:sz w:val="20"/>
              </w:rPr>
            </w:r>
            <w:r>
              <w:rPr>
                <w:b/>
                <w:color w:val="FFFFFF"/>
                <w:sz w:val="20"/>
              </w:rPr>
              <w:t>Document Title</w:t>
            </w:r>
          </w:p>
        </w:tc>
      </w:tr>
      <w:tr>
        <w:tc>
          <w:tcPr>
            <w:tcW w:type="dxa" w:w="4703"/>
          </w:tcPr>
          <w:p>
            <w:pPr>
              <w:spacing w:before="40" w:after="40"/>
            </w:pPr>
            <w:r>
              <w:rPr>
                <w:sz w:val="20"/>
              </w:rPr>
            </w:r>
            <w:r>
              <w:rPr>
                <w:sz w:val="20"/>
              </w:rPr>
              <w:t>DI-02-01</w:t>
            </w:r>
          </w:p>
        </w:tc>
        <w:tc>
          <w:tcPr>
            <w:tcW w:type="dxa" w:w="4703"/>
          </w:tcPr>
          <w:p>
            <w:pPr>
              <w:spacing w:before="40" w:after="40"/>
            </w:pPr>
            <w:r>
              <w:rPr>
                <w:sz w:val="20"/>
              </w:rPr>
            </w:r>
            <w:r>
              <w:rPr>
                <w:sz w:val="20"/>
              </w:rPr>
              <w:t>IS Audit Observation Register (CSV)</w:t>
            </w:r>
          </w:p>
        </w:tc>
      </w:tr>
      <w:tr>
        <w:tc>
          <w:tcPr>
            <w:tcW w:type="dxa" w:w="4703"/>
            <w:shd w:fill="F2F7FB"/>
          </w:tcPr>
          <w:p>
            <w:pPr>
              <w:spacing w:before="40" w:after="40"/>
            </w:pPr>
            <w:r>
              <w:rPr>
                <w:sz w:val="20"/>
              </w:rPr>
            </w:r>
            <w:r>
              <w:rPr>
                <w:sz w:val="20"/>
              </w:rPr>
              <w:t>DI-02-03</w:t>
            </w:r>
          </w:p>
        </w:tc>
        <w:tc>
          <w:tcPr>
            <w:tcW w:type="dxa" w:w="4703"/>
            <w:shd w:fill="F2F7FB"/>
          </w:tcPr>
          <w:p>
            <w:pPr>
              <w:spacing w:before="40" w:after="40"/>
            </w:pPr>
            <w:r>
              <w:rPr>
                <w:sz w:val="20"/>
              </w:rPr>
            </w:r>
            <w:r>
              <w:rPr>
                <w:sz w:val="20"/>
              </w:rPr>
              <w:t>Sample IS Audit Report - High Risk Database Security (CSV)</w:t>
            </w:r>
          </w:p>
        </w:tc>
      </w:tr>
      <w:tr>
        <w:tc>
          <w:tcPr>
            <w:tcW w:type="dxa" w:w="4703"/>
          </w:tcPr>
          <w:p>
            <w:pPr>
              <w:spacing w:before="40" w:after="40"/>
            </w:pPr>
            <w:r>
              <w:rPr>
                <w:sz w:val="20"/>
              </w:rPr>
            </w:r>
            <w:r>
              <w:rPr>
                <w:sz w:val="20"/>
              </w:rPr>
              <w:t>DI-02-04</w:t>
            </w:r>
          </w:p>
        </w:tc>
        <w:tc>
          <w:tcPr>
            <w:tcW w:type="dxa" w:w="4703"/>
          </w:tcPr>
          <w:p>
            <w:pPr>
              <w:spacing w:before="40" w:after="40"/>
            </w:pPr>
            <w:r>
              <w:rPr>
                <w:sz w:val="20"/>
              </w:rPr>
            </w:r>
            <w:r>
              <w:rPr>
                <w:sz w:val="20"/>
              </w:rPr>
              <w:t>Root Cause Analysis Template</w:t>
            </w:r>
          </w:p>
        </w:tc>
      </w:tr>
      <w:tr>
        <w:tc>
          <w:tcPr>
            <w:tcW w:type="dxa" w:w="4703"/>
            <w:shd w:fill="F2F7FB"/>
          </w:tcPr>
          <w:p>
            <w:pPr>
              <w:spacing w:before="40" w:after="40"/>
            </w:pPr>
            <w:r>
              <w:rPr>
                <w:sz w:val="20"/>
              </w:rPr>
            </w:r>
            <w:r>
              <w:rPr>
                <w:sz w:val="20"/>
              </w:rPr>
              <w:t>POL-ISMS-042</w:t>
            </w:r>
          </w:p>
        </w:tc>
        <w:tc>
          <w:tcPr>
            <w:tcW w:type="dxa" w:w="4703"/>
            <w:shd w:fill="F2F7FB"/>
          </w:tcPr>
          <w:p>
            <w:pPr>
              <w:spacing w:before="40" w:after="40"/>
            </w:pPr>
            <w:r>
              <w:rPr>
                <w:sz w:val="20"/>
              </w:rPr>
            </w:r>
            <w:r>
              <w:rPr>
                <w:sz w:val="20"/>
              </w:rPr>
              <w:t>Password Policy for Service Accounts</w:t>
            </w:r>
          </w:p>
        </w:tc>
      </w:tr>
      <w:tr>
        <w:tc>
          <w:tcPr>
            <w:tcW w:type="dxa" w:w="4703"/>
          </w:tcPr>
          <w:p>
            <w:pPr>
              <w:spacing w:before="40" w:after="40"/>
            </w:pPr>
            <w:r>
              <w:rPr>
                <w:sz w:val="20"/>
              </w:rPr>
            </w:r>
            <w:r>
              <w:rPr>
                <w:sz w:val="20"/>
              </w:rPr>
              <w:t>STD-DB-012</w:t>
            </w:r>
          </w:p>
        </w:tc>
        <w:tc>
          <w:tcPr>
            <w:tcW w:type="dxa" w:w="4703"/>
          </w:tcPr>
          <w:p>
            <w:pPr>
              <w:spacing w:before="40" w:after="40"/>
            </w:pPr>
            <w:r>
              <w:rPr>
                <w:sz w:val="20"/>
              </w:rPr>
            </w:r>
            <w:r>
              <w:rPr>
                <w:sz w:val="20"/>
              </w:rPr>
              <w:t>Database Hardening Standard</w:t>
            </w:r>
          </w:p>
        </w:tc>
      </w:tr>
      <w:tr>
        <w:tc>
          <w:tcPr>
            <w:tcW w:type="dxa" w:w="4703"/>
            <w:shd w:fill="F2F7FB"/>
          </w:tcPr>
          <w:p>
            <w:pPr>
              <w:spacing w:before="40" w:after="40"/>
            </w:pPr>
            <w:r>
              <w:rPr>
                <w:sz w:val="20"/>
              </w:rPr>
            </w:r>
            <w:r>
              <w:rPr>
                <w:sz w:val="20"/>
              </w:rPr>
              <w:t>POL-REC-001</w:t>
            </w:r>
          </w:p>
        </w:tc>
        <w:tc>
          <w:tcPr>
            <w:tcW w:type="dxa" w:w="4703"/>
            <w:shd w:fill="F2F7FB"/>
          </w:tcPr>
          <w:p>
            <w:pPr>
              <w:spacing w:before="40" w:after="40"/>
            </w:pPr>
            <w:r>
              <w:rPr>
                <w:sz w:val="20"/>
              </w:rPr>
            </w:r>
            <w:r>
              <w:rPr>
                <w:sz w:val="20"/>
              </w:rPr>
              <w:t>Records Retention Policy</w:t>
            </w:r>
          </w:p>
        </w:tc>
      </w:tr>
      <w:tr>
        <w:tc>
          <w:tcPr>
            <w:tcW w:type="dxa" w:w="4703"/>
          </w:tcPr>
          <w:p>
            <w:pPr>
              <w:spacing w:before="40" w:after="40"/>
            </w:pPr>
            <w:r>
              <w:rPr>
                <w:sz w:val="20"/>
              </w:rPr>
            </w:r>
            <w:r>
              <w:rPr>
                <w:sz w:val="20"/>
              </w:rPr>
              <w:t>REG-EXC-001</w:t>
            </w:r>
          </w:p>
        </w:tc>
        <w:tc>
          <w:tcPr>
            <w:tcW w:type="dxa" w:w="4703"/>
          </w:tcPr>
          <w:p>
            <w:pPr>
              <w:spacing w:before="40" w:after="40"/>
            </w:pPr>
            <w:r>
              <w:rPr>
                <w:sz w:val="20"/>
              </w:rPr>
            </w:r>
            <w:r>
              <w:rPr>
                <w:sz w:val="20"/>
              </w:rPr>
              <w:t>Policy Exceptions Register</w:t>
            </w:r>
          </w:p>
        </w:tc>
      </w:tr>
    </w:tbl>
    <w:p/>
    <w:p>
      <w:pPr>
        <w:spacing w:before="160" w:after="60"/>
      </w:pPr>
      <w:r>
        <w:rPr>
          <w:b/>
          <w:color w:val="3A7CA5"/>
          <w:sz w:val="26"/>
        </w:rPr>
        <w:t>14. ANNEXURES</w:t>
      </w:r>
    </w:p>
    <w:p>
      <w:pPr>
        <w:spacing w:before="20" w:after="20"/>
      </w:pPr>
      <w:r>
        <w:rPr>
          <w:b/>
          <w:sz w:val="20"/>
        </w:rPr>
        <w:t>Annexure A: Root Cause Analysis Template Reference</w:t>
      </w:r>
      <w:r>
        <w:rPr>
          <w:sz w:val="20"/>
        </w:rPr>
        <w:t xml:space="preserve"> - Refer to document DI-02-04 for the standard RCA template.</w:t>
      </w:r>
    </w:p>
    <w:p>
      <w:pPr>
        <w:spacing w:before="20" w:after="20"/>
      </w:pPr>
      <w:r>
        <w:rPr>
          <w:b/>
          <w:sz w:val="20"/>
        </w:rPr>
        <w:t>Annexure B: Test of Effectiveness Checklist</w:t>
      </w:r>
      <w:r>
        <w:rPr>
          <w:sz w:val="20"/>
        </w:rPr>
        <w:t xml:space="preserve"> - Standard checklist used by IS Audit Division for validating closure effectiveness.</w:t>
      </w:r>
    </w:p>
    <w:p>
      <w:pPr>
        <w:spacing w:before="20" w:after="20"/>
      </w:pPr>
      <w:r>
        <w:rPr>
          <w:b/>
          <w:sz w:val="20"/>
        </w:rPr>
        <w:t>Annexure C: Escalation Flowchart</w:t>
      </w:r>
      <w:r>
        <w:rPr>
          <w:sz w:val="20"/>
        </w:rPr>
        <w:t xml:space="preserve"> - Visual representation of the escalation matrix in Section 8. Available on the IS Audit intranet portal.</w:t>
      </w:r>
    </w:p>
    <w:p>
      <w:pPr>
        <w:spacing w:before="120" w:after="40"/>
      </w:pPr>
      <w:r>
        <w:rPr>
          <w:b/>
          <w:color w:val="4A90B0"/>
          <w:sz w:val="22"/>
        </w:rPr>
        <w:t>END OF DOCUMENT</w:t>
      </w:r>
    </w:p>
    <w:p>
      <w:pPr>
        <w:spacing w:before="20" w:after="20"/>
      </w:pPr>
      <w:r>
        <w:rPr>
          <w:sz w:val="20"/>
        </w:rPr>
        <w:t xml:space="preserve">*This SOP is the property of </w:t>
      </w:r>
      <w:r>
        <w:rPr>
          <w:b/>
          <w:sz w:val="20"/>
        </w:rPr>
        <w:t>Bharat Mercantile Bank Limited</w:t>
      </w:r>
      <w:r>
        <w:rPr>
          <w:sz w:val="20"/>
        </w:rPr>
        <w:t>. Unauthorized reproduction or distribution is prohibited. For authorized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