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  <w:jc w:val="center"/>
      </w:pPr>
      <w:r>
        <w:rPr>
          <w:b/>
          <w:color w:val="1B3A5C"/>
          <w:sz w:val="40"/>
        </w:rPr>
        <w:t>IT ASSET MANAGEMENT POLICY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**Document Control**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Document Number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DI-03-01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Version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Effective Date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01-Apr-2024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Review Cycle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Annual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Owner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Chief Information Security Officer (CISO)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Entity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Bharat Mercantile Bank Limited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Classification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Internal - Confidential</w:t>
            </w:r>
          </w:p>
        </w:tc>
      </w:tr>
    </w:tbl>
    <w:p/>
    <w:p>
      <w:pPr>
        <w:spacing w:before="160" w:after="60"/>
      </w:pPr>
      <w:r>
        <w:rPr>
          <w:b/>
          <w:color w:val="3A7CA5"/>
          <w:sz w:val="26"/>
        </w:rPr>
        <w:t>BOARD APPROVAL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Signature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Date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Author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Head - IT Asset Management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235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Reviewed By</w:t>
            </w:r>
          </w:p>
        </w:tc>
        <w:tc>
          <w:tcPr>
            <w:tcW w:type="dxa" w:w="235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Chief Information Security Officer</w:t>
            </w:r>
          </w:p>
        </w:tc>
        <w:tc>
          <w:tcPr>
            <w:tcW w:type="dxa" w:w="235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  <w:tc>
          <w:tcPr>
            <w:tcW w:type="dxa" w:w="235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Reviewed By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Chief Risk Officer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235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Reviewed By</w:t>
            </w:r>
          </w:p>
        </w:tc>
        <w:tc>
          <w:tcPr>
            <w:tcW w:type="dxa" w:w="235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Chief Technology Officer</w:t>
            </w:r>
          </w:p>
        </w:tc>
        <w:tc>
          <w:tcPr>
            <w:tcW w:type="dxa" w:w="235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  <w:tc>
          <w:tcPr>
            <w:tcW w:type="dxa" w:w="235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Approved By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</w:tr>
    </w:tbl>
    <w:p/>
    <w:p>
      <w:pPr>
        <w:spacing w:before="20" w:after="20"/>
      </w:pPr>
      <w:r>
        <w:rPr>
          <w:sz w:val="20"/>
        </w:rPr>
        <w:t>*Resolution Reference: Board Meeting Minutes No. 42/2024 dated 15-Mar-2024*</w:t>
      </w:r>
    </w:p>
    <w:p>
      <w:pPr>
        <w:spacing w:before="160" w:after="60"/>
      </w:pPr>
      <w:r>
        <w:rPr>
          <w:b/>
          <w:color w:val="3A7CA5"/>
          <w:sz w:val="26"/>
        </w:rPr>
        <w:t>VERSION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1568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1568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1568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Description of Change</w:t>
            </w:r>
          </w:p>
        </w:tc>
        <w:tc>
          <w:tcPr>
            <w:tcW w:type="dxa" w:w="1568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Reviewer</w:t>
            </w:r>
          </w:p>
        </w:tc>
        <w:tc>
          <w:tcPr>
            <w:tcW w:type="dxa" w:w="1568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Approver</w:t>
            </w:r>
          </w:p>
        </w:tc>
      </w:tr>
      <w:tr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15-Mar-2024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Head - IT Asset Management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Baseline IT Asset Management Policy - approved by Board of Directors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CISO, CRO, CTO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</w:tr>
      <w:tr>
        <w:tc>
          <w:tcPr>
            <w:tcW w:type="dxa" w:w="1568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  <w:tc>
          <w:tcPr>
            <w:tcW w:type="dxa" w:w="1568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  <w:tc>
          <w:tcPr>
            <w:tcW w:type="dxa" w:w="1568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  <w:tc>
          <w:tcPr>
            <w:tcW w:type="dxa" w:w="1568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  <w:tc>
          <w:tcPr>
            <w:tcW w:type="dxa" w:w="1568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  <w:tc>
          <w:tcPr>
            <w:tcW w:type="dxa" w:w="1568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</w:tr>
    </w:tbl>
    <w:p/>
    <w:p>
      <w:pPr>
        <w:spacing w:before="160" w:after="60"/>
      </w:pPr>
      <w:r>
        <w:rPr>
          <w:b/>
          <w:color w:val="3A7CA5"/>
          <w:sz w:val="26"/>
        </w:rPr>
        <w:t>1. PURPOSE</w:t>
      </w:r>
    </w:p>
    <w:p>
      <w:pPr>
        <w:spacing w:before="20" w:after="20"/>
      </w:pPr>
      <w:r>
        <w:rPr>
          <w:sz w:val="20"/>
        </w:rPr>
        <w:t xml:space="preserve">The purpose of this IT Asset Management Policy is to establish a comprehensive governance framework for the management of all information technology assets across </w:t>
      </w:r>
      <w:r>
        <w:rPr>
          <w:b/>
          <w:sz w:val="20"/>
        </w:rPr>
        <w:t>Bharat Mercantile Bank Limited</w:t>
      </w:r>
      <w:r>
        <w:rPr>
          <w:sz w:val="20"/>
        </w:rPr>
        <w:t>. This policy ensures that all IT assets are identified, classified, tracked, controlled, and disposed of in a manner that supports business objectives, mitigates risk, ensures regulatory compliance, and optimizes the total cost of ownership. The policy also mandates a centralized, version-controlled asset inventory with a defined reviewer and approver workflow for all asset lifecycle events.</w:t>
      </w:r>
    </w:p>
    <w:p>
      <w:pPr>
        <w:spacing w:before="20" w:after="20"/>
      </w:pPr>
      <w:r>
        <w:rPr>
          <w:sz w:val="20"/>
        </w:rPr>
        <w:t>This policy is issued under the authority of the Board of Directors and applies to all business units, subsidiaries, and third-party service providers operating on behalf of the bank.</w:t>
      </w:r>
    </w:p>
    <w:p>
      <w:pPr>
        <w:spacing w:before="160" w:after="60"/>
      </w:pPr>
      <w:r>
        <w:rPr>
          <w:b/>
          <w:color w:val="3A7CA5"/>
          <w:sz w:val="26"/>
        </w:rPr>
        <w:t>2. SCOPE</w:t>
      </w:r>
    </w:p>
    <w:p>
      <w:pPr>
        <w:spacing w:before="20" w:after="20"/>
      </w:pPr>
      <w:r>
        <w:rPr>
          <w:sz w:val="20"/>
        </w:rPr>
        <w:t>This policy applies to: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b/>
          <w:sz w:val="20"/>
        </w:rPr>
        <w:t>Hardware Assets:</w:t>
      </w:r>
      <w:r>
        <w:rPr>
          <w:sz w:val="20"/>
        </w:rPr>
        <w:t xml:space="preserve"> All physical IT equipment including servers, desktop computers, laptop computers, network devices, storage systems, peripherals, mobile devices, and data center infrastructure owned, leased, or managed by the bank.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b/>
          <w:sz w:val="20"/>
        </w:rPr>
        <w:t>Software Assets:</w:t>
      </w:r>
      <w:r>
        <w:rPr>
          <w:sz w:val="20"/>
        </w:rPr>
        <w:t xml:space="preserve"> All licensed software, SaaS subscriptions, cloud services, enterprise applications, operating systems, database management systems, middleware, and development tools.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b/>
          <w:sz w:val="20"/>
        </w:rPr>
        <w:t>Virtual Assets:</w:t>
      </w:r>
      <w:r>
        <w:rPr>
          <w:sz w:val="20"/>
        </w:rPr>
        <w:t xml:space="preserve"> Virtual machines, containers, virtual networks, virtual storage, and software-defined infrastructure.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b/>
          <w:sz w:val="20"/>
        </w:rPr>
        <w:t>Information Assets:</w:t>
      </w:r>
      <w:r>
        <w:rPr>
          <w:sz w:val="20"/>
        </w:rPr>
        <w:t xml:space="preserve"> Data repositories, databases, file shares, backup media, and configuration management databases (CMDB).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b/>
          <w:sz w:val="20"/>
        </w:rPr>
        <w:t>Cloud Assets:</w:t>
      </w:r>
      <w:r>
        <w:rPr>
          <w:sz w:val="20"/>
        </w:rPr>
        <w:t xml:space="preserve"> All IaaS, PaaS, and SaaS resources provisioned under the bank's cloud subscriptions.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b/>
          <w:sz w:val="20"/>
        </w:rPr>
        <w:t>Network Assets:</w:t>
      </w:r>
      <w:r>
        <w:rPr>
          <w:sz w:val="20"/>
        </w:rPr>
        <w:t xml:space="preserve"> IP addresses, domain names, SSL/TLS certificates, network circuits, and telephony assets.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b/>
          <w:sz w:val="20"/>
        </w:rPr>
        <w:t>Any other tangible or intangible IT asset that processes, stores, or transmits bank data.</w:t>
      </w:r>
    </w:p>
    <w:p>
      <w:pPr>
        <w:spacing w:before="20" w:after="20"/>
      </w:pPr>
      <w:r>
        <w:rPr>
          <w:sz w:val="20"/>
        </w:rPr>
        <w:t>Exclusions: Physical premises security assets (CCTV, access cards) are governed under the Physical Security Policy (POL-PHY-001).</w:t>
      </w:r>
    </w:p>
    <w:p>
      <w:pPr>
        <w:spacing w:before="160" w:after="60"/>
      </w:pPr>
      <w:r>
        <w:rPr>
          <w:b/>
          <w:color w:val="3A7CA5"/>
          <w:sz w:val="26"/>
        </w:rPr>
        <w:t>3. POLICY STATEMENTS</w:t>
      </w:r>
    </w:p>
    <w:p>
      <w:pPr>
        <w:spacing w:before="120" w:after="40"/>
      </w:pPr>
      <w:r>
        <w:rPr>
          <w:b/>
          <w:color w:val="4A90B0"/>
          <w:sz w:val="22"/>
        </w:rPr>
        <w:t>3.1 Asset Inventory</w:t>
      </w:r>
    </w:p>
    <w:p>
      <w:pPr>
        <w:spacing w:before="20" w:after="20"/>
      </w:pPr>
      <w:r>
        <w:rPr>
          <w:b/>
          <w:sz w:val="20"/>
        </w:rPr>
        <w:t xml:space="preserve">3.1.1  </w:t>
      </w:r>
      <w:r>
        <w:rPr>
          <w:b/>
          <w:sz w:val="20"/>
        </w:rPr>
        <w:t>Bharat Mercantile Bank Limited</w:t>
      </w:r>
      <w:r>
        <w:rPr>
          <w:sz w:val="20"/>
        </w:rPr>
        <w:t xml:space="preserve"> shall maintain a centralized IT asset inventory (CMDB or equivalent system) that serves as the single source of truth for all IT assets.</w:t>
      </w:r>
    </w:p>
    <w:p>
      <w:pPr>
        <w:spacing w:before="20" w:after="20"/>
      </w:pPr>
      <w:r>
        <w:rPr>
          <w:b/>
          <w:sz w:val="20"/>
        </w:rPr>
        <w:t xml:space="preserve">3.1.2  </w:t>
      </w:r>
      <w:r>
        <w:rPr>
          <w:sz w:val="20"/>
        </w:rPr>
        <w:t>Every IT asset shall be recorded in the centralized inventory within 5 business days of acquisition, provisioning, or onboarding.</w:t>
      </w:r>
    </w:p>
    <w:p>
      <w:pPr>
        <w:spacing w:before="20" w:after="20"/>
      </w:pPr>
      <w:r>
        <w:rPr>
          <w:b/>
          <w:sz w:val="20"/>
        </w:rPr>
        <w:t xml:space="preserve">3.1.3  </w:t>
      </w:r>
      <w:r>
        <w:rPr>
          <w:sz w:val="20"/>
        </w:rPr>
        <w:t>The inventory shall capture, at minimum, the following attributes for each asset: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Asset unique identifier (Asset ID / Serial Number)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Asset type, make, model, and specification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Owner (cost center / business unit / individual)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Custodian / User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Location (datacenter, floor, rack, office, branch)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Acquisition date, cost, PO/WO reference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Warranty / maintenance contract details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Software installed / license details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Cloud subscription ID and service tier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Criticality classification (Critical / High / Medium / Low)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Data classification (if applicable)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Asset status (Active / Inactive / Under Repair / Staged / Disposed)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Supporting network connectivity and dependencies</w:t>
      </w:r>
    </w:p>
    <w:p>
      <w:pPr>
        <w:spacing w:before="120" w:after="40"/>
      </w:pPr>
      <w:r>
        <w:rPr>
          <w:b/>
          <w:color w:val="4A90B0"/>
          <w:sz w:val="22"/>
        </w:rPr>
        <w:t>3.2 Asset Classification and Criticality</w:t>
      </w:r>
    </w:p>
    <w:p>
      <w:pPr>
        <w:spacing w:before="20" w:after="20"/>
      </w:pPr>
      <w:r>
        <w:rPr>
          <w:b/>
          <w:sz w:val="20"/>
        </w:rPr>
        <w:t xml:space="preserve">3.2.1  </w:t>
      </w:r>
      <w:r>
        <w:rPr>
          <w:sz w:val="20"/>
        </w:rPr>
        <w:t>All IT assets shall be classified based on their impact to the bank's operations, data sensitivity, and regulatory criticality using the following categories: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Criticality Level</w:t>
            </w:r>
          </w:p>
        </w:tc>
        <w:tc>
          <w:tcPr>
            <w:tcW w:type="dxa" w:w="3135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Definition</w:t>
            </w:r>
          </w:p>
        </w:tc>
        <w:tc>
          <w:tcPr>
            <w:tcW w:type="dxa" w:w="3135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Examples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Critical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Asset whose failure or compromise would cause severe business disruption, regulatory penalty, or financial loss exceeding INR 5 Cr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Core banking systems, payment gateways, SWIFT, RTGS/NEFT infrastructure, primary datacenter</w:t>
            </w:r>
          </w:p>
        </w:tc>
      </w:tr>
      <w:tr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High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Asset whose failure or compromise would cause significant operational impact or financial loss between INR 1-5 Cr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Branch servers, loan management systems, email servers, CRM, ETL pipelines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Medium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Asset whose failure or compromise would cause moderate operational impact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Desktop computers, printers, departmental file shares</w:t>
            </w:r>
          </w:p>
        </w:tc>
      </w:tr>
      <w:tr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Low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Asset whose failure or compromise would cause minimal operational impact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Test/dev environments, non-critical peripherals</w:t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3.3 Asset Lifecycle Management</w:t>
      </w:r>
    </w:p>
    <w:p>
      <w:pPr>
        <w:spacing w:before="20" w:after="20"/>
      </w:pPr>
      <w:r>
        <w:rPr>
          <w:sz w:val="20"/>
        </w:rPr>
        <w:t>All IT assets shall be managed through the following lifecycle stages:</w:t>
      </w:r>
    </w:p>
    <w:p>
      <w:pPr>
        <w:spacing w:before="20" w:after="20"/>
      </w:pPr>
      <w:r>
        <w:rPr>
          <w:sz w:val="20"/>
        </w:rPr>
        <w:t>##### 3.3.1 Planning and Procurement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Asset requirement must be approved by the appropriate budget authority.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Procurement must follow the bank's Vendor Management Policy (POL-VND-001).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Security assessment must be completed for all software and cloud assets before procurement.</w:t>
      </w:r>
    </w:p>
    <w:p>
      <w:pPr>
        <w:spacing w:before="20" w:after="20"/>
      </w:pPr>
      <w:r>
        <w:rPr>
          <w:sz w:val="20"/>
        </w:rPr>
        <w:t>##### 3.3.2 Acquisition and Onboarding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Asset must be received, verified against PO, and recorded in the centralized inventory.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Asset tag (barcode/RFID) must be affixed to all physical assets before deployment.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Security hardening must be completed per applicable hardening standard before production use.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Software license must be registered and activation keys stored in the license management system.</w:t>
      </w:r>
    </w:p>
    <w:p>
      <w:pPr>
        <w:spacing w:before="20" w:after="20"/>
      </w:pPr>
      <w:r>
        <w:rPr>
          <w:sz w:val="20"/>
        </w:rPr>
        <w:t>##### 3.3.3 Operation and Maintenance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Assets must be maintained per manufacturer specifications and the bank's maintenance schedule.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Software must be kept patched per the Vulnerability Management Policy (POL-VMP-001).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Periodic physical verification of assets must be conducted annually for all locations.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Asset changes (location transfer, ownership change, configuration change) must be recorded in the inventory with version tracking.</w:t>
      </w:r>
    </w:p>
    <w:p>
      <w:pPr>
        <w:spacing w:before="20" w:after="20"/>
      </w:pPr>
      <w:r>
        <w:rPr>
          <w:sz w:val="20"/>
        </w:rPr>
        <w:t>##### 3.3.4 Decommissioning and Disposal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Assets identified for decommissioning must follow the IT Asset Disposal SOP (SOP-ITD-001).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Data sanitization (DoD 5220.22-M or NIST SP 800-88) must be performed for all storage media.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Certificate of Destruction (CoD) must be issued and retained for 7 years.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License and subscription entitlements must be reclaimed or terminated.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Asset status must be updated to "Disposed" in the centralized inventory.</w:t>
      </w:r>
    </w:p>
    <w:p>
      <w:pPr>
        <w:spacing w:before="120" w:after="40"/>
      </w:pPr>
      <w:r>
        <w:rPr>
          <w:b/>
          <w:color w:val="4A90B0"/>
          <w:sz w:val="22"/>
        </w:rPr>
        <w:t>3.4 Version Control and Change History</w:t>
      </w:r>
    </w:p>
    <w:p>
      <w:pPr>
        <w:spacing w:before="20" w:after="20"/>
      </w:pPr>
      <w:r>
        <w:rPr>
          <w:b/>
          <w:sz w:val="20"/>
        </w:rPr>
        <w:t xml:space="preserve">3.4.1  </w:t>
      </w:r>
      <w:r>
        <w:rPr>
          <w:sz w:val="20"/>
        </w:rPr>
        <w:t>The centralized asset inventory must maintain a complete version-control history of all changes to asset records.</w:t>
      </w:r>
    </w:p>
    <w:p>
      <w:pPr>
        <w:spacing w:before="20" w:after="20"/>
      </w:pPr>
      <w:r>
        <w:rPr>
          <w:b/>
          <w:sz w:val="20"/>
        </w:rPr>
        <w:t xml:space="preserve">3.4.2  </w:t>
      </w:r>
      <w:r>
        <w:rPr>
          <w:sz w:val="20"/>
        </w:rPr>
        <w:t>Every change to the inventory (addition, modification, transfer, retirement) must record: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Date and timestamp of change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User who performed the change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Reviewer who validated the change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Approver who authorized the change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Approval date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Description of change and reason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Previous value and new value (for modifications)</w:t>
      </w:r>
    </w:p>
    <w:p>
      <w:pPr>
        <w:spacing w:before="20" w:after="20"/>
      </w:pPr>
      <w:r>
        <w:rPr>
          <w:b/>
          <w:sz w:val="20"/>
        </w:rPr>
        <w:t xml:space="preserve">3.4.3  </w:t>
      </w:r>
      <w:r>
        <w:rPr>
          <w:sz w:val="20"/>
        </w:rPr>
        <w:t>No asset record shall be deleted from the inventory. Records shall be marked as "Disposed" or "Retired" with appropriate audit trail.</w:t>
      </w:r>
    </w:p>
    <w:p>
      <w:pPr>
        <w:spacing w:before="20" w:after="20"/>
      </w:pPr>
      <w:r>
        <w:rPr>
          <w:b/>
          <w:sz w:val="20"/>
        </w:rPr>
        <w:t xml:space="preserve">3.4.4  </w:t>
      </w:r>
      <w:r>
        <w:rPr>
          <w:sz w:val="20"/>
        </w:rPr>
        <w:t>The version-control log shall be retained for a minimum of 7 years from the date of last change.</w:t>
      </w:r>
    </w:p>
    <w:p>
      <w:pPr>
        <w:spacing w:before="120" w:after="40"/>
      </w:pPr>
      <w:r>
        <w:rPr>
          <w:b/>
          <w:color w:val="4A90B0"/>
          <w:sz w:val="22"/>
        </w:rPr>
        <w:t>3.5 Reviewer and Approver Workflow</w:t>
      </w:r>
    </w:p>
    <w:p>
      <w:pPr>
        <w:spacing w:before="20" w:after="20"/>
      </w:pPr>
      <w:r>
        <w:rPr>
          <w:sz w:val="20"/>
        </w:rPr>
        <w:t>All asset lifecycle events shall follow the approval matrix below: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Lifecycle Event</w:t>
            </w:r>
          </w:p>
        </w:tc>
        <w:tc>
          <w:tcPr>
            <w:tcW w:type="dxa" w:w="188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Creator</w:t>
            </w:r>
          </w:p>
        </w:tc>
        <w:tc>
          <w:tcPr>
            <w:tcW w:type="dxa" w:w="188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Reviewer</w:t>
            </w:r>
          </w:p>
        </w:tc>
        <w:tc>
          <w:tcPr>
            <w:tcW w:type="dxa" w:w="188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Approver</w:t>
            </w:r>
          </w:p>
        </w:tc>
        <w:tc>
          <w:tcPr>
            <w:tcW w:type="dxa" w:w="188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Approval Method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Asset Addition (Critical)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Asset Custodian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Asset Manager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CTO / CIO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System-based workflow with escalation</w:t>
            </w:r>
          </w:p>
        </w:tc>
      </w:tr>
      <w:tr>
        <w:tc>
          <w:tcPr>
            <w:tcW w:type="dxa" w:w="188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Asset Addition (High)</w:t>
            </w:r>
          </w:p>
        </w:tc>
        <w:tc>
          <w:tcPr>
            <w:tcW w:type="dxa" w:w="188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Asset Custodian</w:t>
            </w:r>
          </w:p>
        </w:tc>
        <w:tc>
          <w:tcPr>
            <w:tcW w:type="dxa" w:w="188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Asset Manager</w:t>
            </w:r>
          </w:p>
        </w:tc>
        <w:tc>
          <w:tcPr>
            <w:tcW w:type="dxa" w:w="188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Business Unit Head</w:t>
            </w:r>
          </w:p>
        </w:tc>
        <w:tc>
          <w:tcPr>
            <w:tcW w:type="dxa" w:w="188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System-based workflow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Asset Addition (Medium/Low)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Asset Custodian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Asset Manager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Operations Head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System-based workflow</w:t>
            </w:r>
          </w:p>
        </w:tc>
      </w:tr>
      <w:tr>
        <w:tc>
          <w:tcPr>
            <w:tcW w:type="dxa" w:w="188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Asset Transfer</w:t>
            </w:r>
          </w:p>
        </w:tc>
        <w:tc>
          <w:tcPr>
            <w:tcW w:type="dxa" w:w="188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Source Custodian</w:t>
            </w:r>
          </w:p>
        </w:tc>
        <w:tc>
          <w:tcPr>
            <w:tcW w:type="dxa" w:w="188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Asset Manager</w:t>
            </w:r>
          </w:p>
        </w:tc>
        <w:tc>
          <w:tcPr>
            <w:tcW w:type="dxa" w:w="188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Receiving BU Head</w:t>
            </w:r>
          </w:p>
        </w:tc>
        <w:tc>
          <w:tcPr>
            <w:tcW w:type="dxa" w:w="188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System-based workflow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Asset Modification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Asset Custodian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Asset Manager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Not required unless criticality changes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System-based workflow</w:t>
            </w:r>
          </w:p>
        </w:tc>
      </w:tr>
      <w:tr>
        <w:tc>
          <w:tcPr>
            <w:tcW w:type="dxa" w:w="188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Asset Retirement/Disposal</w:t>
            </w:r>
          </w:p>
        </w:tc>
        <w:tc>
          <w:tcPr>
            <w:tcW w:type="dxa" w:w="188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Asset Custodian</w:t>
            </w:r>
          </w:p>
        </w:tc>
        <w:tc>
          <w:tcPr>
            <w:tcW w:type="dxa" w:w="188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Asset Manager</w:t>
            </w:r>
          </w:p>
        </w:tc>
        <w:tc>
          <w:tcPr>
            <w:tcW w:type="dxa" w:w="188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 (if data-bearing)</w:t>
            </w:r>
          </w:p>
        </w:tc>
        <w:tc>
          <w:tcPr>
            <w:tcW w:type="dxa" w:w="188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System-based workflow with CoD attachment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Inventory Record Change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CMDB Operator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Asset Manager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Operations Head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System-based workflow with change log</w:t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3.6 Inventory Review and Reconciliation</w:t>
      </w:r>
    </w:p>
    <w:p>
      <w:pPr>
        <w:spacing w:before="20" w:after="20"/>
      </w:pPr>
      <w:r>
        <w:rPr>
          <w:b/>
          <w:sz w:val="20"/>
        </w:rPr>
        <w:t xml:space="preserve">3.6.1  </w:t>
      </w:r>
      <w:r>
        <w:rPr>
          <w:sz w:val="20"/>
        </w:rPr>
        <w:t>A complete physical verification of all IT assets shall be conducted annually by a team independent of the asset custodians.</w:t>
      </w:r>
    </w:p>
    <w:p>
      <w:pPr>
        <w:spacing w:before="20" w:after="20"/>
      </w:pPr>
      <w:r>
        <w:rPr>
          <w:b/>
          <w:sz w:val="20"/>
        </w:rPr>
        <w:t xml:space="preserve">3.6.2  </w:t>
      </w:r>
      <w:r>
        <w:rPr>
          <w:sz w:val="20"/>
        </w:rPr>
        <w:t>Discrepancies identified during physical verification shall be reported to the CISO and resolved within 30 days.</w:t>
      </w:r>
    </w:p>
    <w:p>
      <w:pPr>
        <w:spacing w:before="20" w:after="20"/>
      </w:pPr>
      <w:r>
        <w:rPr>
          <w:b/>
          <w:sz w:val="20"/>
        </w:rPr>
        <w:t xml:space="preserve">3.6.3  </w:t>
      </w:r>
      <w:r>
        <w:rPr>
          <w:sz w:val="20"/>
        </w:rPr>
        <w:t>A quarterly reconciliation shall be performed between the centralized inventory and procurement records (PO), finance records (fixed asset register), and cloud provider billing portals.</w:t>
      </w:r>
    </w:p>
    <w:p>
      <w:pPr>
        <w:spacing w:before="20" w:after="20"/>
      </w:pPr>
      <w:r>
        <w:rPr>
          <w:b/>
          <w:sz w:val="20"/>
        </w:rPr>
        <w:t xml:space="preserve">3.6.4  </w:t>
      </w:r>
      <w:r>
        <w:rPr>
          <w:sz w:val="20"/>
        </w:rPr>
        <w:t>The IT Asset Manager shall certify the accuracy of the inventory quarterly and report to the CISO.</w:t>
      </w:r>
    </w:p>
    <w:p>
      <w:pPr>
        <w:spacing w:before="120" w:after="40"/>
      </w:pPr>
      <w:r>
        <w:rPr>
          <w:b/>
          <w:color w:val="4A90B0"/>
          <w:sz w:val="22"/>
        </w:rPr>
        <w:t>3.7 Software License and Subscription Management</w:t>
      </w:r>
    </w:p>
    <w:p>
      <w:pPr>
        <w:spacing w:before="20" w:after="20"/>
      </w:pPr>
      <w:r>
        <w:rPr>
          <w:b/>
          <w:sz w:val="20"/>
        </w:rPr>
        <w:t xml:space="preserve">3.7.1  </w:t>
      </w:r>
      <w:r>
        <w:rPr>
          <w:sz w:val="20"/>
        </w:rPr>
        <w:t>All software licenses and cloud subscriptions must be tracked in the centralized inventory or a dedicated license management module.</w:t>
      </w:r>
    </w:p>
    <w:p>
      <w:pPr>
        <w:spacing w:before="20" w:after="20"/>
      </w:pPr>
      <w:r>
        <w:rPr>
          <w:b/>
          <w:sz w:val="20"/>
        </w:rPr>
        <w:t xml:space="preserve">3.7.2  </w:t>
      </w:r>
      <w:r>
        <w:rPr>
          <w:sz w:val="20"/>
        </w:rPr>
        <w:t>License entitlements shall be reconciled with actual usage on a quarterly basis to ensure compliance with vendor terms and to identify optimization opportunities.</w:t>
      </w:r>
    </w:p>
    <w:p>
      <w:pPr>
        <w:spacing w:before="20" w:after="20"/>
      </w:pPr>
      <w:r>
        <w:rPr>
          <w:b/>
          <w:sz w:val="20"/>
        </w:rPr>
        <w:t xml:space="preserve">3.7.3  </w:t>
      </w:r>
      <w:r>
        <w:rPr>
          <w:sz w:val="20"/>
        </w:rPr>
        <w:t>Any instance of license non-compliance shall be reported to the CISO and remediated within 30 days.</w:t>
      </w:r>
    </w:p>
    <w:p>
      <w:pPr>
        <w:spacing w:before="20" w:after="20"/>
      </w:pPr>
      <w:r>
        <w:rPr>
          <w:b/>
          <w:sz w:val="20"/>
        </w:rPr>
        <w:t xml:space="preserve">3.7.4  </w:t>
      </w:r>
      <w:r>
        <w:rPr>
          <w:sz w:val="20"/>
        </w:rPr>
        <w:t>Cloud subscription sprawl shall be controlled through mandatory approval workflows for new subscription creation.</w:t>
      </w:r>
    </w:p>
    <w:p>
      <w:pPr>
        <w:spacing w:before="120" w:after="40"/>
      </w:pPr>
      <w:r>
        <w:rPr>
          <w:b/>
          <w:color w:val="4A90B0"/>
          <w:sz w:val="22"/>
        </w:rPr>
        <w:t>3.8 Third-Party and Vendor-Managed Assets</w:t>
      </w:r>
    </w:p>
    <w:p>
      <w:pPr>
        <w:spacing w:before="20" w:after="20"/>
      </w:pPr>
      <w:r>
        <w:rPr>
          <w:b/>
          <w:sz w:val="20"/>
        </w:rPr>
        <w:t xml:space="preserve">3.8.1  </w:t>
      </w:r>
      <w:r>
        <w:rPr>
          <w:sz w:val="20"/>
        </w:rPr>
        <w:t xml:space="preserve">Assets managed by third-party service providers on behalf of </w:t>
      </w:r>
      <w:r>
        <w:rPr>
          <w:b/>
          <w:sz w:val="20"/>
        </w:rPr>
        <w:t>Bharat Mercantile Bank Limited</w:t>
      </w:r>
      <w:r>
        <w:rPr>
          <w:sz w:val="20"/>
        </w:rPr>
        <w:t xml:space="preserve"> must be recorded in a separate register within the centralized inventory.</w:t>
      </w:r>
    </w:p>
    <w:p>
      <w:pPr>
        <w:spacing w:before="20" w:after="20"/>
      </w:pPr>
      <w:r>
        <w:rPr>
          <w:b/>
          <w:sz w:val="20"/>
        </w:rPr>
        <w:t xml:space="preserve">3.8.2  </w:t>
      </w:r>
      <w:r>
        <w:rPr>
          <w:sz w:val="20"/>
        </w:rPr>
        <w:t>The contract with the service provider must specify asset ownership, maintenance responsibilities, and data handling obligations.</w:t>
      </w:r>
    </w:p>
    <w:p>
      <w:pPr>
        <w:spacing w:before="20" w:after="20"/>
      </w:pPr>
      <w:r>
        <w:rPr>
          <w:b/>
          <w:sz w:val="20"/>
        </w:rPr>
        <w:t xml:space="preserve">3.8.3  </w:t>
      </w:r>
      <w:r>
        <w:rPr>
          <w:sz w:val="20"/>
        </w:rPr>
        <w:t>Third-party assets must be reconciled annually against vendor-provided reports.</w:t>
      </w:r>
    </w:p>
    <w:p>
      <w:pPr>
        <w:spacing w:before="160" w:after="60"/>
      </w:pPr>
      <w:r>
        <w:rPr>
          <w:b/>
          <w:color w:val="3A7CA5"/>
          <w:sz w:val="26"/>
        </w:rPr>
        <w:t>4. ROLES AND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Approve the IT Asset Management Policy. Review annual compliance report.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Chief Technology Officer (CTO)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Own the overall asset management program. Allocate budget and resources.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Chief Information Security Officer (CISO)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Ensure security controls are applied to asset lifecycle. Review policy annually.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Asset Manager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Maintain the centralized inventory. Enforce lifecycle procedures. Manage version-control and approver workflows.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Asset Custodians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Accountable for assigned assets. Report changes, transfers, and losses within 2 business days.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Business Unit Heads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Approve asset additions and transfers for their units. Participate in annual physical verification.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Internal Audit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Audit compliance with this policy annually. Report findings to Audit Committee.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Procurement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Ensure all IT purchases are recorded in inventory within 5 business days of receipt.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Finance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Reconcile fixed asset register with IT inventory quarterly.</w:t>
            </w:r>
          </w:p>
        </w:tc>
      </w:tr>
    </w:tbl>
    <w:p/>
    <w:p>
      <w:pPr>
        <w:spacing w:before="160" w:after="60"/>
      </w:pPr>
      <w:r>
        <w:rPr>
          <w:b/>
          <w:color w:val="3A7CA5"/>
          <w:sz w:val="26"/>
        </w:rPr>
        <w:t>5. COMPLIANCE AND AUDIT</w:t>
      </w:r>
    </w:p>
    <w:p>
      <w:pPr>
        <w:spacing w:before="20" w:after="20"/>
      </w:pPr>
      <w:r>
        <w:rPr>
          <w:b/>
          <w:sz w:val="20"/>
        </w:rPr>
        <w:t xml:space="preserve">5.1  </w:t>
      </w:r>
      <w:r>
        <w:rPr>
          <w:sz w:val="20"/>
        </w:rPr>
        <w:t>Compliance with this policy shall be audited annually by Internal Audit as part of the IS Audit program (Control Ref: 3.3.1).</w:t>
      </w:r>
    </w:p>
    <w:p>
      <w:pPr>
        <w:spacing w:before="20" w:after="20"/>
      </w:pPr>
      <w:r>
        <w:rPr>
          <w:b/>
          <w:sz w:val="20"/>
        </w:rPr>
        <w:t xml:space="preserve">5.2  </w:t>
      </w:r>
      <w:r>
        <w:rPr>
          <w:sz w:val="20"/>
        </w:rPr>
        <w:t>Non-compliance identified during audits shall be recorded as observations and tracked through the Observation Closure SOP (DI-02-02).</w:t>
      </w:r>
    </w:p>
    <w:p>
      <w:pPr>
        <w:spacing w:before="20" w:after="20"/>
      </w:pPr>
      <w:r>
        <w:rPr>
          <w:b/>
          <w:sz w:val="20"/>
        </w:rPr>
        <w:t xml:space="preserve">5.3  </w:t>
      </w:r>
      <w:r>
        <w:rPr>
          <w:sz w:val="20"/>
        </w:rPr>
        <w:t>The IT Asset Manager shall submit a quarterly compliance report to the CISO covering: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Inventory accuracy rate (target: &gt;98%)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Pending inventory changes awaiting approval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Physical verification completion status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Software license compliance status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Asset disposal backlog</w:t>
      </w:r>
    </w:p>
    <w:p>
      <w:pPr>
        <w:spacing w:before="160" w:after="60"/>
      </w:pPr>
      <w:r>
        <w:rPr>
          <w:b/>
          <w:color w:val="3A7CA5"/>
          <w:sz w:val="26"/>
        </w:rPr>
        <w:t>6. EXCEPTIONS</w:t>
      </w:r>
    </w:p>
    <w:p>
      <w:pPr>
        <w:spacing w:before="20" w:after="20"/>
      </w:pPr>
      <w:r>
        <w:rPr>
          <w:sz w:val="20"/>
        </w:rPr>
        <w:t>Any exception to this policy must be formally requested using the Policy Exception Request Form (PER-001) and approved by the CISO. Exceptions for Critical assets require approval from the CTO. All exceptions shall be reviewed during the annual policy review.</w:t>
      </w:r>
    </w:p>
    <w:p>
      <w:pPr>
        <w:spacing w:before="160" w:after="60"/>
      </w:pPr>
      <w:r>
        <w:rPr>
          <w:b/>
          <w:color w:val="3A7CA5"/>
          <w:sz w:val="26"/>
        </w:rPr>
        <w:t>7. RELATED DOCUMENTS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Document Reference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Document Title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DI-03-02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Sample IT Asset Inventory Register (CSV)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DI-03-03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EOL/EOS Management Policy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DI-03-04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EOL/EOS System Register (CSV)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DI-03-05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Asset Inventory Change Log (CSV)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SOP-ITD-001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Asset Disposal SOP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POL-VND-001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Vendor Management Policy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POL-VMP-001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Vulnerability Management Policy</w:t>
            </w:r>
          </w:p>
        </w:tc>
      </w:tr>
    </w:tbl>
    <w:p/>
    <w:p>
      <w:pPr>
        <w:spacing w:before="160" w:after="60"/>
      </w:pPr>
      <w:r>
        <w:rPr>
          <w:b/>
          <w:color w:val="3A7CA5"/>
          <w:sz w:val="26"/>
        </w:rPr>
        <w:t>8. DEFINITIONS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Term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Definition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CMDB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Configuration Management Database - the centralized repository for IT asset and configuration information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Asset Tag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Unique identifier (barcode/RFID) affixed to physical assets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Custodian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Individual responsible for the day-to-day care and safekeeping of an asset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Data Sanitization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Process of permanently removing data from storage media to prevent recovery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Certificate of Destruction (CoD)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Document certifying that an asset has been destroyed in accordance with policy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Fixed Asset Register (FAR)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Finance department's record of capitalized assets for accounting purposes</w:t>
            </w:r>
          </w:p>
        </w:tc>
      </w:tr>
    </w:tbl>
    <w:p/>
    <w:p>
      <w:pPr>
        <w:spacing w:before="160" w:after="60"/>
      </w:pPr>
      <w:r>
        <w:rPr>
          <w:b/>
          <w:color w:val="3A7CA5"/>
          <w:sz w:val="26"/>
        </w:rPr>
        <w:t>9. POLICY REVIEW</w:t>
      </w:r>
    </w:p>
    <w:p>
      <w:pPr>
        <w:spacing w:before="20" w:after="20"/>
      </w:pPr>
      <w:r>
        <w:rPr>
          <w:sz w:val="20"/>
        </w:rPr>
        <w:t>This policy shall be reviewed annually by the CISO in consultation with the CTO, CRO, and Head of Internal Audit. The next review date is 31-Mar-2025.</w:t>
      </w:r>
    </w:p>
    <w:p>
      <w:pPr>
        <w:spacing w:before="120" w:after="40"/>
      </w:pPr>
      <w:r>
        <w:rPr>
          <w:b/>
          <w:color w:val="4A90B0"/>
          <w:sz w:val="22"/>
        </w:rPr>
        <w:t>END OF POLICY</w:t>
      </w:r>
    </w:p>
    <w:p>
      <w:pPr>
        <w:spacing w:before="20" w:after="20"/>
      </w:pPr>
      <w:r>
        <w:rPr>
          <w:sz w:val="20"/>
        </w:rPr>
        <w:t xml:space="preserve">*This policy is the property of </w:t>
      </w:r>
      <w:r>
        <w:rPr>
          <w:b/>
          <w:sz w:val="20"/>
        </w:rPr>
        <w:t>Bharat Mercantile Bank Limited</w:t>
      </w:r>
      <w:r>
        <w:rPr>
          <w:sz w:val="20"/>
        </w:rPr>
        <w:t xml:space="preserve"> and has been approved by the Board of Directors. Unauthorized reproduction or distribution is prohibited.*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