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END-OF-LIFE / END-OF-SUPPORT MANAGEMENT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**Document Control**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Owner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Entity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Bharat Mercantile Bank Limited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- Confidential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DOCUMENT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Author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- IT Infrastructure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Risk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Approved By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*Resolution Reference: Board Meeting Minutes No. 43/2024 dated 15-Mar-2024*</w:t>
      </w:r>
    </w:p>
    <w:p>
      <w:pPr>
        <w:spacing w:before="160" w:after="60"/>
      </w:pPr>
      <w:r>
        <w:rPr>
          <w:b/>
          <w:color w:val="3A7CA5"/>
          <w:sz w:val="26"/>
        </w:rP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Approver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15-Mar-2024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- IT Infrastructure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Baseline EOL/EOS Management Policy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CISO, CRO, CTO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1. PURPOSE</w:t>
      </w:r>
    </w:p>
    <w:p>
      <w:pPr>
        <w:spacing w:before="20" w:after="20"/>
      </w:pPr>
      <w:r>
        <w:rPr>
          <w:sz w:val="20"/>
        </w:rPr>
        <w:t xml:space="preserve">The purpose of this End-of-Life (EOL) and End-of-Support (EOS) Management Policy is to establish a structured governance framework for the identification, risk assessment, remediation planning, and risk acceptance of all IT assets at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that have reached or are approaching their manufacturer-declared end-of-life or end-of-support milestones. This policy ensures that the bank does not operate unsupported systems without documented business justification, approved risk acceptance, and a time-bound upgrade or replacement plan. Compliance with this policy is essential to safeguarding the bank's technology infrastructure against security vulnerabilities, regulatory non-compliance, and operational instability.</w:t>
      </w:r>
    </w:p>
    <w:p>
      <w:pPr>
        <w:spacing w:before="160" w:after="60"/>
      </w:pPr>
      <w:r>
        <w:rPr>
          <w:b/>
          <w:color w:val="3A7CA5"/>
          <w:sz w:val="26"/>
        </w:rPr>
        <w:t>2. SCOPE</w:t>
      </w:r>
    </w:p>
    <w:p>
      <w:pPr>
        <w:spacing w:before="20" w:after="20"/>
      </w:pPr>
      <w:r>
        <w:rPr>
          <w:sz w:val="20"/>
        </w:rPr>
        <w:t>This policy applies to: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 xml:space="preserve">All hardware, software, firmware, operating systems, databases, middleware, network devices, and security appliances owned, leased, or managed by </w:t>
      </w:r>
      <w:r>
        <w:rPr>
          <w:b/>
          <w:sz w:val="20"/>
        </w:rPr>
        <w:t>Bharat Mercantile Bank Limited</w:t>
      </w:r>
      <w:r>
        <w:rPr>
          <w:sz w:val="20"/>
        </w:rPr>
        <w:t>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cloud services, SaaS platforms, and PaaS components where the vendor has announced EOL/EOS.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third-party products integrated into the bank's application landscape.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environments: production, disaster recovery, test, development, and staging.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All business units, subsidiaries, and third-party service providers operating infrastructure or applications on behalf of the bank.</w:t>
      </w:r>
    </w:p>
    <w:p>
      <w:pPr>
        <w:spacing w:before="160" w:after="60"/>
      </w:pPr>
      <w:r>
        <w:rPr>
          <w:b/>
          <w:color w:val="3A7CA5"/>
          <w:sz w:val="26"/>
        </w:rPr>
        <w:t>3.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End-of-Life (EOL)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The date after which a manufacturer ceases to sell, manufacture, or renew licenses for a product. Limited or no engineering support may be available.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End-of-Support (EOS)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The date after which a manufacturer ceases to provide technical support, security patches, bug fixes, or warranty services for a product. Also referred to as End-of-Service-Life.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End-of-Extended-Support (EOES)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The date after which all paid extended support options (if any) also expire. No further patches or fixes of any kind are available.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Unsupported Asset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Any IT asset that has passed its EOS date and for which the manufacturer no longer provides security patches or technical support.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Migration Plan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 documented, time-bound project plan for upgrading, replacing, or retiring an EOL/EOS asset.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Risk Acceptance Note (RAN)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 formal document signed by the Risk Owner accepting the residual risk of operating an unsupported asset for a defined period.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Compensating Control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 alternative security or operational control implemented to mitigate the risk of operating an EOL/EOS asset until migration is complete.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Technology Refresh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The planned lifecycle replacement of IT assets at predetermined intervals to avoid EOL/EOS exposure.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4. POLICY STATEMENTS</w:t>
      </w:r>
    </w:p>
    <w:p>
      <w:pPr>
        <w:spacing w:before="120" w:after="40"/>
      </w:pPr>
      <w:r>
        <w:rPr>
          <w:b/>
          <w:color w:val="4A90B0"/>
          <w:sz w:val="22"/>
        </w:rPr>
        <w:t>4.1 Proactive Lifecycle Monitoring</w:t>
      </w:r>
    </w:p>
    <w:p>
      <w:pPr>
        <w:spacing w:before="20" w:after="20"/>
      </w:pPr>
      <w:r>
        <w:rPr>
          <w:b/>
          <w:sz w:val="20"/>
        </w:rPr>
        <w:t xml:space="preserve">4.1.1 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shall maintain a comprehensive register of all IT assets with their manufacturer-declared EOL and EOS dates (refer to DI-03-04 - EOL/EOS System Register).</w:t>
      </w:r>
    </w:p>
    <w:p>
      <w:pPr>
        <w:spacing w:before="20" w:after="20"/>
      </w:pPr>
      <w:r>
        <w:rPr>
          <w:b/>
          <w:sz w:val="20"/>
        </w:rPr>
        <w:t xml:space="preserve">4.1.2  </w:t>
      </w:r>
      <w:r>
        <w:rPr>
          <w:sz w:val="20"/>
        </w:rPr>
        <w:t>The IT Asset Manager shall monitor EOL/EOS announcements from key vendors (Microsoft, Oracle, Dell, HPE, Cisco, VMware, Fortinet, etc.) on a continuous basis and update the register within 10 business days of any vendor announcement.</w:t>
      </w:r>
    </w:p>
    <w:p>
      <w:pPr>
        <w:spacing w:before="20" w:after="20"/>
      </w:pPr>
      <w:r>
        <w:rPr>
          <w:b/>
          <w:sz w:val="20"/>
        </w:rPr>
        <w:t xml:space="preserve">4.1.3  </w:t>
      </w:r>
      <w:r>
        <w:rPr>
          <w:sz w:val="20"/>
        </w:rPr>
        <w:t>A quarterly EOL/EOS health check report shall be generated and submitted to the CTO and CISO covering: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Assets approaching EOL/EOS within the next 12 months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Assets currently past EOS (unsupported)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Migration plan status for each EOL/EOS asset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Risk acceptance notes in effect</w:t>
      </w:r>
    </w:p>
    <w:p>
      <w:pPr>
        <w:spacing w:before="120" w:after="40"/>
      </w:pPr>
      <w:r>
        <w:rPr>
          <w:b/>
          <w:color w:val="4A90B0"/>
          <w:sz w:val="22"/>
        </w:rPr>
        <w:t>4.2 EOL/EOS Trigger Points</w:t>
      </w:r>
    </w:p>
    <w:p>
      <w:pPr>
        <w:spacing w:before="20" w:after="20"/>
      </w:pPr>
      <w:r>
        <w:rPr>
          <w:b/>
          <w:sz w:val="20"/>
        </w:rPr>
        <w:t xml:space="preserve">4.2.1  </w:t>
      </w:r>
      <w:r>
        <w:rPr>
          <w:sz w:val="20"/>
        </w:rPr>
        <w:t>The following trigger points require mandatory management attention: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Action Required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T-24 months from EOS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Initiate technology refresh planning. Include in annual budget cycle.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Manager, Business Unit Heads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T-12 months from EOS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Complete vendor evaluation and solution design. Obtain budget approval.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CTO, Business Unit Heads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T-6 months from EOS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Begin migration execution. Engage implementation partners if required.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Infrastructure, Application Teams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T-3 months from EOS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Complete migration. Decommission old asset. Update inventory.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Infrastructure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EOS date passed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asset shall remain in production past EOS without a valid Risk Acceptance Note (RAN) signed by the CRO.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CRO, CISO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EOS date + 6 months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Assets past EOS + 6 months require escalation to Board Audit Committee.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Audit Committee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4.3 Migration and Upgrade Planning</w:t>
      </w:r>
    </w:p>
    <w:p>
      <w:pPr>
        <w:spacing w:before="20" w:after="20"/>
      </w:pPr>
      <w:r>
        <w:rPr>
          <w:b/>
          <w:sz w:val="20"/>
        </w:rPr>
        <w:t xml:space="preserve">4.3.1  </w:t>
      </w:r>
      <w:r>
        <w:rPr>
          <w:sz w:val="20"/>
        </w:rPr>
        <w:t>For every EOL/EOS asset identified, a documented upgrade or replacement plan must be created within 30 days of identification and must include: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Current asset details (make, model, version, location, business function).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EOL/EOS date and source of information (vendor publication reference).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Migration approach (upgrade in-place, replace with equivalent, replace with new technology, migrate to cloud, decommission).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Target architecture and solution design overview.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Implementation timeline with milestones (design, build, test, cutover, hypercare).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Dependencies (interfacing systems, third-party integrations, data migration requirements).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plan (internal team, vendor, system integrator).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Budget estimate and funding source.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Rollback plan.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Compensating controls required during the migration window.</w:t>
      </w:r>
    </w:p>
    <w:p>
      <w:pPr>
        <w:spacing w:before="20" w:after="20"/>
      </w:pPr>
      <w:r>
        <w:rPr>
          <w:b/>
          <w:sz w:val="20"/>
        </w:rPr>
        <w:t xml:space="preserve">4.3.2  </w:t>
      </w:r>
      <w:r>
        <w:rPr>
          <w:sz w:val="20"/>
        </w:rPr>
        <w:t>All migration plans shall be reviewed by the CTO and CISO and approved by the relevant Business Unit Head before execution begins.</w:t>
      </w:r>
    </w:p>
    <w:p>
      <w:pPr>
        <w:spacing w:before="20" w:after="20"/>
      </w:pPr>
      <w:r>
        <w:rPr>
          <w:b/>
          <w:sz w:val="20"/>
        </w:rPr>
        <w:t xml:space="preserve">4.3.3  </w:t>
      </w:r>
      <w:r>
        <w:rPr>
          <w:sz w:val="20"/>
        </w:rPr>
        <w:t>Migration plans for Critical and High criticality assets shall be presented to the Board Audit Committee as an information item.</w:t>
      </w:r>
    </w:p>
    <w:p>
      <w:pPr>
        <w:spacing w:before="120" w:after="40"/>
      </w:pPr>
      <w:r>
        <w:rPr>
          <w:b/>
          <w:color w:val="4A90B0"/>
          <w:sz w:val="22"/>
        </w:rPr>
        <w:t>4.4 Risk Acceptance for Unsupported Assets</w:t>
      </w:r>
    </w:p>
    <w:p>
      <w:pPr>
        <w:spacing w:before="20" w:after="20"/>
      </w:pPr>
      <w:r>
        <w:rPr>
          <w:b/>
          <w:sz w:val="20"/>
        </w:rPr>
        <w:t xml:space="preserve">4.4.1  </w:t>
      </w:r>
      <w:r>
        <w:rPr>
          <w:sz w:val="20"/>
        </w:rPr>
        <w:t>Operating an asset past its EOS date without a valid migration plan is strictly prohibited except where a Risk Acceptance Note (RAN) has been approved.</w:t>
      </w:r>
    </w:p>
    <w:p>
      <w:pPr>
        <w:spacing w:before="20" w:after="20"/>
      </w:pPr>
      <w:r>
        <w:rPr>
          <w:b/>
          <w:sz w:val="20"/>
        </w:rPr>
        <w:t xml:space="preserve">4.4.2  </w:t>
      </w:r>
      <w:r>
        <w:rPr>
          <w:sz w:val="20"/>
        </w:rPr>
        <w:t>The RAN must include: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Business justification for continued use (e.g., migration dependency, regulatory hold, contractual obligation).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Compensating controls implemented to mitigate security and operational risks (e.g., network segmentation, enhanced logging, restricted access, additional monitoring).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Maximum period of acceptance (not to exceed 12 months from EOS date without re-approval).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Firm commitment date for migration completion.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Signatures from: Asset Owner, CISO, CRO, and CTO.</w:t>
      </w:r>
    </w:p>
    <w:p>
      <w:pPr>
        <w:spacing w:before="20" w:after="20"/>
      </w:pPr>
      <w:r>
        <w:rPr>
          <w:b/>
          <w:sz w:val="20"/>
        </w:rPr>
        <w:t xml:space="preserve">4.4.3  </w:t>
      </w:r>
      <w:r>
        <w:rPr>
          <w:sz w:val="20"/>
        </w:rPr>
        <w:t>RAN validity periods: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Asset Criticality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Maximum RAN Period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Re-approval Required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6 months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- requires Board Audit Committee approval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 months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- requires CTO/CRO re-approval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 months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 - requires CISO re-approval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 months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One-time extension permitted</w:t>
            </w:r>
          </w:p>
        </w:tc>
      </w:tr>
    </w:tbl>
    <w:p/>
    <w:p>
      <w:pPr>
        <w:spacing w:before="20" w:after="20"/>
      </w:pPr>
      <w:r>
        <w:rPr>
          <w:b/>
          <w:sz w:val="20"/>
        </w:rPr>
        <w:t xml:space="preserve">4.4.4  </w:t>
      </w:r>
      <w:r>
        <w:rPr>
          <w:sz w:val="20"/>
        </w:rPr>
        <w:t>No asset shall operate under a RAN for more than 12 consecutive months without a complete re-evaluation by the CRO.</w:t>
      </w:r>
    </w:p>
    <w:p>
      <w:pPr>
        <w:spacing w:before="120" w:after="40"/>
      </w:pPr>
      <w:r>
        <w:rPr>
          <w:b/>
          <w:color w:val="4A90B0"/>
          <w:sz w:val="22"/>
        </w:rPr>
        <w:t>4.5 Compensating Controls</w:t>
      </w:r>
    </w:p>
    <w:p>
      <w:pPr>
        <w:spacing w:before="20" w:after="20"/>
      </w:pPr>
      <w:r>
        <w:rPr>
          <w:sz w:val="20"/>
        </w:rPr>
        <w:t>When an EOL/EOS asset must continue operating under a RAN, the following compensating controls shall be evaluated and implemented as applicable: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Control Area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Compensating Control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Mandatory for Critical/High?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Security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Isolate asset in a restricted VLAN with strict ACLs allowing only required traffic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Access Control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Restrict administrative access to named users only; enforce MFA for all access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Monitoring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Enable enhanced logging (all authentication attempts, configuration changes, process execution) and feed to SIEM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Conduct monthly vulnerability scans; manually verify and patch where possible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Backup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Ensure verified backups are available and tested monthly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Protection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Deploy host-based IDS/IPS (even if OS-level EOS)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Management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changes to the asset without Change Advisory Board (CAB) approval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User Access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Remove all non-essential user accounts; review access quarterly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Maintain up-to-date configuration and runbook documentation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Recommended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Insurance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Confirm cyber insurance policy covers losses related to unsupported software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Recommended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4.6 Decommissioning</w:t>
      </w:r>
    </w:p>
    <w:p>
      <w:pPr>
        <w:spacing w:before="20" w:after="20"/>
      </w:pPr>
      <w:r>
        <w:rPr>
          <w:b/>
          <w:sz w:val="20"/>
        </w:rPr>
        <w:t xml:space="preserve">4.6.1  </w:t>
      </w:r>
      <w:r>
        <w:rPr>
          <w:sz w:val="20"/>
        </w:rPr>
        <w:t>Upon successful migration to a supported platform, the EOL/EOS asset shall be decommissioned within 15 business days.</w:t>
      </w:r>
    </w:p>
    <w:p>
      <w:pPr>
        <w:spacing w:before="20" w:after="20"/>
      </w:pPr>
      <w:r>
        <w:rPr>
          <w:b/>
          <w:sz w:val="20"/>
        </w:rPr>
        <w:t xml:space="preserve">4.6.2  </w:t>
      </w:r>
      <w:r>
        <w:rPr>
          <w:sz w:val="20"/>
        </w:rPr>
        <w:t>Decommissioning must follow the IT Asset Disposal SOP (SOP-ITD-001) including: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Data sanitization for all storage media per NIST SP 800-88.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Certificate of Destruction (CoD) issuance.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License and entitlement reclamation or termination.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Update of asset inventory status to "Disposed" with version-control record.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Removal of compensating controls and monitoring rules.</w:t>
      </w:r>
    </w:p>
    <w:p>
      <w:pPr>
        <w:spacing w:before="20" w:after="20"/>
      </w:pPr>
      <w:r>
        <w:rPr>
          <w:b/>
          <w:sz w:val="20"/>
        </w:rPr>
        <w:t xml:space="preserve">4.6.3  </w:t>
      </w:r>
      <w:r>
        <w:rPr>
          <w:sz w:val="20"/>
        </w:rPr>
        <w:t>Post-decommissioning, a lessons-learned report shall be prepared and shared with the CTO to improve future migration planning.</w:t>
      </w:r>
    </w:p>
    <w:p>
      <w:pPr>
        <w:spacing w:before="160" w:after="60"/>
      </w:pPr>
      <w:r>
        <w:rPr>
          <w:b/>
          <w:color w:val="3A7CA5"/>
          <w:sz w:val="26"/>
        </w:rPr>
        <w:t>5.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Own this policy. Approve migration plans. Escalate to Board if needed.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Assess security risk of EOL/EOS assets. Approve compensating controls. Co-sign RANs.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Risk Officer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 Risk Acceptance Notes. Evaluate residual risk acceptance.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Maintain EOL/EOS System Register (DI-03-04). Monitor vendor announcements. Trigger migration planning.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Infrastructure Head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Execute migration plans. Implement compensating controls. Decommission assets.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Owners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Assess application compatibility. Plan application-level migration. Coordinate cutover.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Business Unit Heads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Fund migration projects. Approve business justification for RANs.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Audit compliance with this policy annually. Report to Audit Committee.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6. ESCALATION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Condition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Escalate To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 migration plan 90 days before EOS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 business days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RAN expired without migration completion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CRO, Board Audit Committee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Immediately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 asset past EOS without RAN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CTO, CISO, CRO, Board Audit Committee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Immediately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Compensating controls not implemented for EOS asset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 business days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Budget not allocated for migration 12 months before EOS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CFO, CTO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review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7. COMPLIANCE AND PENALTIES</w:t>
      </w:r>
    </w:p>
    <w:p>
      <w:pPr>
        <w:spacing w:before="20" w:after="20"/>
      </w:pPr>
      <w:r>
        <w:rPr>
          <w:b/>
          <w:sz w:val="20"/>
        </w:rPr>
        <w:t xml:space="preserve">7.1  </w:t>
      </w:r>
      <w:r>
        <w:rPr>
          <w:sz w:val="20"/>
        </w:rPr>
        <w:t>Compliance with this policy shall be verified during quarterly EOL/EOS health checks and annually by Internal Audit.</w:t>
      </w:r>
    </w:p>
    <w:p>
      <w:pPr>
        <w:spacing w:before="20" w:after="20"/>
      </w:pPr>
      <w:r>
        <w:rPr>
          <w:b/>
          <w:sz w:val="20"/>
        </w:rPr>
        <w:t xml:space="preserve">7.2  </w:t>
      </w:r>
      <w:r>
        <w:rPr>
          <w:sz w:val="20"/>
        </w:rPr>
        <w:t>The following non-compliances shall be reported to the Board Audit Committee: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Any Critical asset operating past EOS without a valid RAN.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Any asset operating past EOS for more than 12 consecutive months.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Failure to initiate migration planning at T-24 months from EOS.</w:t>
      </w:r>
    </w:p>
    <w:p>
      <w:pPr>
        <w:spacing w:before="20" w:after="20"/>
      </w:pPr>
      <w:r>
        <w:rPr>
          <w:b/>
          <w:sz w:val="20"/>
        </w:rPr>
        <w:t xml:space="preserve">7.3  </w:t>
      </w:r>
      <w:r>
        <w:rPr>
          <w:sz w:val="20"/>
        </w:rPr>
        <w:t>Persistent non-compliance may result in: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Notation in the responsible head's performance appraisal.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to the Board Risk Committee.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Regulatory self-reporting to RBI if the non-compliance poses a material risk.</w:t>
      </w:r>
    </w:p>
    <w:p>
      <w:pPr>
        <w:spacing w:before="160" w:after="60"/>
      </w:pPr>
      <w:r>
        <w:rPr>
          <w:b/>
          <w:color w:val="3A7CA5"/>
          <w:sz w:val="26"/>
        </w:rPr>
        <w:t>8. EXCEPTIONS</w:t>
      </w:r>
    </w:p>
    <w:p>
      <w:pPr>
        <w:spacing w:before="20" w:after="20"/>
      </w:pPr>
      <w:r>
        <w:rPr>
          <w:sz w:val="20"/>
        </w:rPr>
        <w:t>Exceptions to this policy must be approved by the CTO and CISO jointly and documented in the Policy Exceptions Register (REG-EXC-001). Exceptions involving Critical assets further require Board Audit Committee approval. All exceptions are temporary and shall be reviewed quarterly.</w:t>
      </w:r>
    </w:p>
    <w:p>
      <w:pPr>
        <w:spacing w:before="160" w:after="60"/>
      </w:pPr>
      <w:r>
        <w:rPr>
          <w:b/>
          <w:color w:val="3A7CA5"/>
          <w:sz w:val="26"/>
        </w:rPr>
        <w:t>9.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 Reference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 Title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Management Policy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DI-03-02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Sample IT Asset Inventory Register (CSV)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DI-03-04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EOL/EOS System Register (CSV)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DI-03-05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Inventory Change Log (CSV)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SOP-ITD-001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Disposal SOP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POL-VMP-001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Management Policy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REG-EXC-001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Exceptions Register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10. POLICY REVIEW</w:t>
      </w:r>
    </w:p>
    <w:p>
      <w:pPr>
        <w:spacing w:before="20" w:after="20"/>
      </w:pPr>
      <w:r>
        <w:rPr>
          <w:sz w:val="20"/>
        </w:rPr>
        <w:t>This policy shall be reviewed annually by the CTO in consultation with the CISO and CRO. The next review date is 31-Mar-2025.</w:t>
      </w:r>
    </w:p>
    <w:p>
      <w:pPr>
        <w:spacing w:before="120" w:after="40"/>
      </w:pPr>
      <w:r>
        <w:rPr>
          <w:b/>
          <w:color w:val="4A90B0"/>
          <w:sz w:val="22"/>
        </w:rPr>
        <w:t>END OF POLICY</w:t>
      </w:r>
    </w:p>
    <w:p>
      <w:pPr>
        <w:spacing w:before="20" w:after="20"/>
      </w:pPr>
      <w:r>
        <w:rPr>
          <w:sz w:val="20"/>
        </w:rPr>
        <w:t xml:space="preserve">*This policy is the property of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and has been approved by the Board of Directors. Unauthorized reproduction or distribution is prohibited.*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