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b/>
          <w:color w:val="1B3A5C"/>
          <w:sz w:val="40"/>
        </w:rPr>
        <w:t>Document Control</w:t>
      </w:r>
    </w:p>
    <w:tbl>
      <w:tblPr>
        <w:tblStyle w:val="TableGrid"/>
        <w:tblW w:type="auto" w:w="0"/>
        <w:jc w:val="center"/>
        <w:tblLook w:firstColumn="1" w:firstRow="1" w:lastColumn="0" w:lastRow="0" w:noHBand="0" w:noVBand="1" w:val="04A0"/>
      </w:tblPr>
      <w:tblGrid>
        <w:gridCol w:w="4703"/>
        <w:gridCol w:w="4703"/>
      </w:tblGrid>
      <w:tr>
        <w:tc>
          <w:tcPr>
            <w:tcW w:type="dxa" w:w="4703"/>
            <w:shd w:fill="1B3A5C"/>
          </w:tcPr>
          <w:p>
            <w:pPr>
              <w:spacing w:before="40" w:after="40"/>
            </w:pPr>
            <w:r>
              <w:rPr>
                <w:b/>
                <w:color w:val="FFFFFF"/>
                <w:sz w:val="20"/>
              </w:rPr>
            </w:r>
            <w:r>
              <w:rPr>
                <w:b/>
                <w:color w:val="FFFFFF"/>
                <w:sz w:val="20"/>
              </w:rPr>
              <w:t>**Field**</w:t>
            </w:r>
          </w:p>
        </w:tc>
        <w:tc>
          <w:tcPr>
            <w:tcW w:type="dxa" w:w="4703"/>
            <w:shd w:fill="1B3A5C"/>
          </w:tcPr>
          <w:p>
            <w:pPr>
              <w:spacing w:before="40" w:after="40"/>
            </w:pPr>
            <w:r>
              <w:rPr>
                <w:b/>
                <w:color w:val="FFFFFF"/>
                <w:sz w:val="20"/>
              </w:rPr>
            </w:r>
            <w:r>
              <w:rPr>
                <w:b/>
                <w:color w:val="FFFFFF"/>
                <w:sz w:val="20"/>
              </w:rPr>
              <w:t>**Details**</w:t>
            </w:r>
          </w:p>
        </w:tc>
      </w:tr>
      <w:tr>
        <w:tc>
          <w:tcPr>
            <w:tcW w:type="dxa" w:w="4703"/>
          </w:tcPr>
          <w:p>
            <w:pPr>
              <w:spacing w:before="40" w:after="40"/>
            </w:pPr>
            <w:r>
              <w:rPr>
                <w:sz w:val="20"/>
              </w:rPr>
            </w:r>
            <w:r>
              <w:rPr>
                <w:b/>
                <w:sz w:val="20"/>
              </w:rPr>
              <w:t>Document Title</w:t>
            </w:r>
          </w:p>
        </w:tc>
        <w:tc>
          <w:tcPr>
            <w:tcW w:type="dxa" w:w="4703"/>
          </w:tcPr>
          <w:p>
            <w:pPr>
              <w:spacing w:before="40" w:after="40"/>
            </w:pPr>
            <w:r>
              <w:rPr>
                <w:sz w:val="20"/>
              </w:rPr>
            </w:r>
            <w:r>
              <w:rPr>
                <w:sz w:val="20"/>
              </w:rPr>
              <w:t>Firewall Management Policy</w:t>
            </w:r>
          </w:p>
        </w:tc>
      </w:tr>
      <w:tr>
        <w:tc>
          <w:tcPr>
            <w:tcW w:type="dxa" w:w="4703"/>
            <w:shd w:fill="F2F7FB"/>
          </w:tcPr>
          <w:p>
            <w:pPr>
              <w:spacing w:before="40" w:after="40"/>
            </w:pPr>
            <w:r>
              <w:rPr>
                <w:sz w:val="20"/>
              </w:rPr>
            </w:r>
            <w:r>
              <w:rPr>
                <w:b/>
                <w:sz w:val="20"/>
              </w:rPr>
              <w:t>Document Reference</w:t>
            </w:r>
          </w:p>
        </w:tc>
        <w:tc>
          <w:tcPr>
            <w:tcW w:type="dxa" w:w="4703"/>
            <w:shd w:fill="F2F7FB"/>
          </w:tcPr>
          <w:p>
            <w:pPr>
              <w:spacing w:before="40" w:after="40"/>
            </w:pPr>
            <w:r>
              <w:rPr>
                <w:sz w:val="20"/>
              </w:rPr>
            </w:r>
            <w:r>
              <w:rPr>
                <w:sz w:val="20"/>
              </w:rPr>
              <w:t>DI-04-01</w:t>
            </w:r>
          </w:p>
        </w:tc>
      </w:tr>
      <w:tr>
        <w:tc>
          <w:tcPr>
            <w:tcW w:type="dxa" w:w="4703"/>
          </w:tcPr>
          <w:p>
            <w:pPr>
              <w:spacing w:before="40" w:after="40"/>
            </w:pPr>
            <w:r>
              <w:rPr>
                <w:sz w:val="20"/>
              </w:rPr>
            </w:r>
            <w:r>
              <w:rPr>
                <w:b/>
                <w:sz w:val="20"/>
              </w:rPr>
              <w:t>Version</w:t>
            </w:r>
          </w:p>
        </w:tc>
        <w:tc>
          <w:tcPr>
            <w:tcW w:type="dxa" w:w="4703"/>
          </w:tcPr>
          <w:p>
            <w:pPr>
              <w:spacing w:before="40" w:after="40"/>
            </w:pPr>
            <w:r>
              <w:rPr>
                <w:sz w:val="20"/>
              </w:rPr>
            </w:r>
            <w:r>
              <w:rPr>
                <w:sz w:val="20"/>
              </w:rPr>
              <w:t>1.0</w:t>
            </w:r>
          </w:p>
        </w:tc>
      </w:tr>
      <w:tr>
        <w:tc>
          <w:tcPr>
            <w:tcW w:type="dxa" w:w="4703"/>
            <w:shd w:fill="F2F7FB"/>
          </w:tcPr>
          <w:p>
            <w:pPr>
              <w:spacing w:before="40" w:after="40"/>
            </w:pPr>
            <w:r>
              <w:rPr>
                <w:sz w:val="20"/>
              </w:rPr>
            </w:r>
            <w:r>
              <w:rPr>
                <w:b/>
                <w:sz w:val="20"/>
              </w:rPr>
              <w:t>Effective Date</w:t>
            </w:r>
          </w:p>
        </w:tc>
        <w:tc>
          <w:tcPr>
            <w:tcW w:type="dxa" w:w="4703"/>
            <w:shd w:fill="F2F7FB"/>
          </w:tcPr>
          <w:p>
            <w:pPr>
              <w:spacing w:before="40" w:after="40"/>
            </w:pPr>
            <w:r>
              <w:rPr>
                <w:sz w:val="20"/>
              </w:rPr>
            </w:r>
            <w:r>
              <w:rPr>
                <w:sz w:val="20"/>
              </w:rPr>
              <w:t>01-Apr-2026</w:t>
            </w:r>
          </w:p>
        </w:tc>
      </w:tr>
      <w:tr>
        <w:tc>
          <w:tcPr>
            <w:tcW w:type="dxa" w:w="4703"/>
          </w:tcPr>
          <w:p>
            <w:pPr>
              <w:spacing w:before="40" w:after="40"/>
            </w:pPr>
            <w:r>
              <w:rPr>
                <w:sz w:val="20"/>
              </w:rPr>
            </w:r>
            <w:r>
              <w:rPr>
                <w:b/>
                <w:sz w:val="20"/>
              </w:rPr>
              <w:t>Review Date</w:t>
            </w:r>
          </w:p>
        </w:tc>
        <w:tc>
          <w:tcPr>
            <w:tcW w:type="dxa" w:w="4703"/>
          </w:tcPr>
          <w:p>
            <w:pPr>
              <w:spacing w:before="40" w:after="40"/>
            </w:pPr>
            <w:r>
              <w:rPr>
                <w:sz w:val="20"/>
              </w:rPr>
            </w:r>
            <w:r>
              <w:rPr>
                <w:sz w:val="20"/>
              </w:rPr>
              <w:t>31-Mar-2027</w:t>
            </w:r>
          </w:p>
        </w:tc>
      </w:tr>
      <w:tr>
        <w:tc>
          <w:tcPr>
            <w:tcW w:type="dxa" w:w="4703"/>
            <w:shd w:fill="F2F7FB"/>
          </w:tcPr>
          <w:p>
            <w:pPr>
              <w:spacing w:before="40" w:after="40"/>
            </w:pPr>
            <w:r>
              <w:rPr>
                <w:sz w:val="20"/>
              </w:rPr>
            </w:r>
            <w:r>
              <w:rPr>
                <w:b/>
                <w:sz w:val="20"/>
              </w:rPr>
              <w:t>Owner</w:t>
            </w:r>
          </w:p>
        </w:tc>
        <w:tc>
          <w:tcPr>
            <w:tcW w:type="dxa" w:w="4703"/>
            <w:shd w:fill="F2F7FB"/>
          </w:tcPr>
          <w:p>
            <w:pPr>
              <w:spacing w:before="40" w:after="40"/>
            </w:pPr>
            <w:r>
              <w:rPr>
                <w:sz w:val="20"/>
              </w:rPr>
            </w:r>
            <w:r>
              <w:rPr>
                <w:sz w:val="20"/>
              </w:rPr>
              <w:t>Chief Information Security Officer (CISO)</w:t>
            </w:r>
          </w:p>
        </w:tc>
      </w:tr>
      <w:tr>
        <w:tc>
          <w:tcPr>
            <w:tcW w:type="dxa" w:w="4703"/>
          </w:tcPr>
          <w:p>
            <w:pPr>
              <w:spacing w:before="40" w:after="40"/>
            </w:pPr>
            <w:r>
              <w:rPr>
                <w:sz w:val="20"/>
              </w:rPr>
            </w:r>
            <w:r>
              <w:rPr>
                <w:b/>
                <w:sz w:val="20"/>
              </w:rPr>
              <w:t>Department</w:t>
            </w:r>
          </w:p>
        </w:tc>
        <w:tc>
          <w:tcPr>
            <w:tcW w:type="dxa" w:w="4703"/>
          </w:tcPr>
          <w:p>
            <w:pPr>
              <w:spacing w:before="40" w:after="40"/>
            </w:pPr>
            <w:r>
              <w:rPr>
                <w:sz w:val="20"/>
              </w:rPr>
            </w:r>
            <w:r>
              <w:rPr>
                <w:sz w:val="20"/>
              </w:rPr>
              <w:t>Information Security Group</w:t>
            </w:r>
          </w:p>
        </w:tc>
      </w:tr>
      <w:tr>
        <w:tc>
          <w:tcPr>
            <w:tcW w:type="dxa" w:w="4703"/>
            <w:shd w:fill="F2F7FB"/>
          </w:tcPr>
          <w:p>
            <w:pPr>
              <w:spacing w:before="40" w:after="40"/>
            </w:pPr>
            <w:r>
              <w:rPr>
                <w:sz w:val="20"/>
              </w:rPr>
            </w:r>
            <w:r>
              <w:rPr>
                <w:b/>
                <w:sz w:val="20"/>
              </w:rPr>
              <w:t>Classification</w:t>
            </w:r>
          </w:p>
        </w:tc>
        <w:tc>
          <w:tcPr>
            <w:tcW w:type="dxa" w:w="4703"/>
            <w:shd w:fill="F2F7FB"/>
          </w:tcPr>
          <w:p>
            <w:pPr>
              <w:spacing w:before="40" w:after="40"/>
            </w:pPr>
            <w:r>
              <w:rPr>
                <w:sz w:val="20"/>
              </w:rPr>
            </w:r>
            <w:r>
              <w:rPr>
                <w:sz w:val="20"/>
              </w:rPr>
              <w:t>Internal – Confidential</w:t>
            </w:r>
          </w:p>
        </w:tc>
      </w:tr>
      <w:tr>
        <w:tc>
          <w:tcPr>
            <w:tcW w:type="dxa" w:w="4703"/>
          </w:tcPr>
          <w:p>
            <w:pPr>
              <w:spacing w:before="40" w:after="40"/>
            </w:pPr>
            <w:r>
              <w:rPr>
                <w:sz w:val="20"/>
              </w:rPr>
            </w:r>
            <w:r>
              <w:rPr>
                <w:b/>
                <w:sz w:val="20"/>
              </w:rPr>
              <w:t>Bank Name</w:t>
            </w:r>
          </w:p>
        </w:tc>
        <w:tc>
          <w:tcPr>
            <w:tcW w:type="dxa" w:w="4703"/>
          </w:tcPr>
          <w:p>
            <w:pPr>
              <w:spacing w:before="40" w:after="40"/>
            </w:pPr>
            <w:r>
              <w:rPr>
                <w:sz w:val="20"/>
              </w:rPr>
            </w:r>
            <w:r>
              <w:rPr>
                <w:sz w:val="20"/>
              </w:rPr>
              <w:t>Bharat Mercantile Bank Limited</w:t>
            </w:r>
          </w:p>
        </w:tc>
      </w:tr>
    </w:tbl>
    <w:p/>
    <w:p>
      <w:pPr>
        <w:spacing w:before="240" w:after="120"/>
        <w:jc w:val="center"/>
      </w:pPr>
      <w:r>
        <w:rPr>
          <w:b/>
          <w:color w:val="1B3A5C"/>
          <w:sz w:val="40"/>
        </w:rPr>
        <w:t>Approval History</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B3A5C"/>
          </w:tcPr>
          <w:p>
            <w:pPr>
              <w:spacing w:before="40" w:after="40"/>
            </w:pPr>
            <w:r>
              <w:rPr>
                <w:b/>
                <w:color w:val="FFFFFF"/>
                <w:sz w:val="20"/>
              </w:rPr>
            </w:r>
            <w:r>
              <w:rPr>
                <w:b/>
                <w:color w:val="FFFFFF"/>
                <w:sz w:val="20"/>
              </w:rPr>
              <w:t>**Version**</w:t>
            </w:r>
          </w:p>
        </w:tc>
        <w:tc>
          <w:tcPr>
            <w:tcW w:type="dxa" w:w="1881"/>
            <w:shd w:fill="1B3A5C"/>
          </w:tcPr>
          <w:p>
            <w:pPr>
              <w:spacing w:before="40" w:after="40"/>
            </w:pPr>
            <w:r>
              <w:rPr>
                <w:b/>
                <w:color w:val="FFFFFF"/>
                <w:sz w:val="20"/>
              </w:rPr>
            </w:r>
            <w:r>
              <w:rPr>
                <w:b/>
                <w:color w:val="FFFFFF"/>
                <w:sz w:val="20"/>
              </w:rPr>
              <w:t>**Date**</w:t>
            </w:r>
          </w:p>
        </w:tc>
        <w:tc>
          <w:tcPr>
            <w:tcW w:type="dxa" w:w="1881"/>
            <w:shd w:fill="1B3A5C"/>
          </w:tcPr>
          <w:p>
            <w:pPr>
              <w:spacing w:before="40" w:after="40"/>
            </w:pPr>
            <w:r>
              <w:rPr>
                <w:b/>
                <w:color w:val="FFFFFF"/>
                <w:sz w:val="20"/>
              </w:rPr>
            </w:r>
            <w:r>
              <w:rPr>
                <w:b/>
                <w:color w:val="FFFFFF"/>
                <w:sz w:val="20"/>
              </w:rPr>
              <w:t>**Approved By**</w:t>
            </w:r>
          </w:p>
        </w:tc>
        <w:tc>
          <w:tcPr>
            <w:tcW w:type="dxa" w:w="1881"/>
            <w:shd w:fill="1B3A5C"/>
          </w:tcPr>
          <w:p>
            <w:pPr>
              <w:spacing w:before="40" w:after="40"/>
            </w:pPr>
            <w:r>
              <w:rPr>
                <w:b/>
                <w:color w:val="FFFFFF"/>
                <w:sz w:val="20"/>
              </w:rPr>
            </w:r>
            <w:r>
              <w:rPr>
                <w:b/>
                <w:color w:val="FFFFFF"/>
                <w:sz w:val="20"/>
              </w:rPr>
              <w:t>**Role**</w:t>
            </w:r>
          </w:p>
        </w:tc>
        <w:tc>
          <w:tcPr>
            <w:tcW w:type="dxa" w:w="1881"/>
            <w:shd w:fill="1B3A5C"/>
          </w:tcPr>
          <w:p>
            <w:pPr>
              <w:spacing w:before="40" w:after="40"/>
            </w:pPr>
            <w:r>
              <w:rPr>
                <w:b/>
                <w:color w:val="FFFFFF"/>
                <w:sz w:val="20"/>
              </w:rPr>
            </w:r>
            <w:r>
              <w:rPr>
                <w:b/>
                <w:color w:val="FFFFFF"/>
                <w:sz w:val="20"/>
              </w:rPr>
              <w:t>**Remarks**</w:t>
            </w:r>
          </w:p>
        </w:tc>
      </w:tr>
      <w:tr>
        <w:tc>
          <w:tcPr>
            <w:tcW w:type="dxa" w:w="1881"/>
          </w:tcPr>
          <w:p>
            <w:pPr>
              <w:spacing w:before="40" w:after="40"/>
            </w:pPr>
            <w:r>
              <w:rPr>
                <w:sz w:val="20"/>
              </w:rPr>
            </w:r>
            <w:r>
              <w:rPr>
                <w:sz w:val="20"/>
              </w:rPr>
              <w:t>0.1</w:t>
            </w:r>
          </w:p>
        </w:tc>
        <w:tc>
          <w:tcPr>
            <w:tcW w:type="dxa" w:w="1881"/>
          </w:tcPr>
          <w:p>
            <w:pPr>
              <w:spacing w:before="40" w:after="40"/>
            </w:pPr>
            <w:r>
              <w:rPr>
                <w:sz w:val="20"/>
              </w:rPr>
            </w:r>
            <w:r>
              <w:rPr>
                <w:sz w:val="20"/>
              </w:rPr>
              <w:t>10-Mar-2026</w:t>
            </w:r>
          </w:p>
        </w:tc>
        <w:tc>
          <w:tcPr>
            <w:tcW w:type="dxa" w:w="1881"/>
          </w:tcPr>
          <w:p>
            <w:pPr>
              <w:spacing w:before="40" w:after="40"/>
            </w:pPr>
            <w:r>
              <w:rPr>
                <w:sz w:val="20"/>
              </w:rPr>
            </w:r>
            <w:r>
              <w:rPr>
                <w:sz w:val="20"/>
              </w:rPr>
              <w:t>Mr. Rajesh Mehta</w:t>
            </w:r>
          </w:p>
        </w:tc>
        <w:tc>
          <w:tcPr>
            <w:tcW w:type="dxa" w:w="1881"/>
          </w:tcPr>
          <w:p>
            <w:pPr>
              <w:spacing w:before="40" w:after="40"/>
            </w:pPr>
            <w:r>
              <w:rPr>
                <w:sz w:val="20"/>
              </w:rPr>
            </w:r>
            <w:r>
              <w:rPr>
                <w:sz w:val="20"/>
              </w:rPr>
              <w:t>CISO</w:t>
            </w:r>
          </w:p>
        </w:tc>
        <w:tc>
          <w:tcPr>
            <w:tcW w:type="dxa" w:w="1881"/>
          </w:tcPr>
          <w:p>
            <w:pPr>
              <w:spacing w:before="40" w:after="40"/>
            </w:pPr>
            <w:r>
              <w:rPr>
                <w:sz w:val="20"/>
              </w:rPr>
            </w:r>
            <w:r>
              <w:rPr>
                <w:sz w:val="20"/>
              </w:rPr>
              <w:t>Draft for Review</w:t>
            </w:r>
          </w:p>
        </w:tc>
      </w:tr>
      <w:tr>
        <w:tc>
          <w:tcPr>
            <w:tcW w:type="dxa" w:w="1881"/>
            <w:shd w:fill="F2F7FB"/>
          </w:tcPr>
          <w:p>
            <w:pPr>
              <w:spacing w:before="40" w:after="40"/>
            </w:pPr>
            <w:r>
              <w:rPr>
                <w:sz w:val="20"/>
              </w:rPr>
            </w:r>
            <w:r>
              <w:rPr>
                <w:sz w:val="20"/>
              </w:rPr>
              <w:t>0.2</w:t>
            </w:r>
          </w:p>
        </w:tc>
        <w:tc>
          <w:tcPr>
            <w:tcW w:type="dxa" w:w="1881"/>
            <w:shd w:fill="F2F7FB"/>
          </w:tcPr>
          <w:p>
            <w:pPr>
              <w:spacing w:before="40" w:after="40"/>
            </w:pPr>
            <w:r>
              <w:rPr>
                <w:sz w:val="20"/>
              </w:rPr>
            </w:r>
            <w:r>
              <w:rPr>
                <w:sz w:val="20"/>
              </w:rPr>
              <w:t>20-Mar-2026</w:t>
            </w:r>
          </w:p>
        </w:tc>
        <w:tc>
          <w:tcPr>
            <w:tcW w:type="dxa" w:w="1881"/>
            <w:shd w:fill="F2F7FB"/>
          </w:tcPr>
          <w:p>
            <w:pPr>
              <w:spacing w:before="40" w:after="40"/>
            </w:pPr>
            <w:r>
              <w:rPr>
                <w:sz w:val="20"/>
              </w:rPr>
            </w:r>
            <w:r>
              <w:rPr>
                <w:sz w:val="20"/>
              </w:rPr>
              <w:t>Dr. S. Venkatesan</w:t>
            </w:r>
          </w:p>
        </w:tc>
        <w:tc>
          <w:tcPr>
            <w:tcW w:type="dxa" w:w="1881"/>
            <w:shd w:fill="F2F7FB"/>
          </w:tcPr>
          <w:p>
            <w:pPr>
              <w:spacing w:before="40" w:after="40"/>
            </w:pPr>
            <w:r>
              <w:rPr>
                <w:sz w:val="20"/>
              </w:rPr>
            </w:r>
            <w:r>
              <w:rPr>
                <w:sz w:val="20"/>
              </w:rPr>
              <w:t>Head – IT Audit</w:t>
            </w:r>
          </w:p>
        </w:tc>
        <w:tc>
          <w:tcPr>
            <w:tcW w:type="dxa" w:w="1881"/>
            <w:shd w:fill="F2F7FB"/>
          </w:tcPr>
          <w:p>
            <w:pPr>
              <w:spacing w:before="40" w:after="40"/>
            </w:pPr>
            <w:r>
              <w:rPr>
                <w:sz w:val="20"/>
              </w:rPr>
            </w:r>
            <w:r>
              <w:rPr>
                <w:sz w:val="20"/>
              </w:rPr>
              <w:t>Reviewed – Minor Comments</w:t>
            </w:r>
          </w:p>
        </w:tc>
      </w:tr>
      <w:tr>
        <w:tc>
          <w:tcPr>
            <w:tcW w:type="dxa" w:w="1881"/>
          </w:tcPr>
          <w:p>
            <w:pPr>
              <w:spacing w:before="40" w:after="40"/>
            </w:pPr>
            <w:r>
              <w:rPr>
                <w:sz w:val="20"/>
              </w:rPr>
            </w:r>
            <w:r>
              <w:rPr>
                <w:sz w:val="20"/>
              </w:rPr>
              <w:t>1.0</w:t>
            </w:r>
          </w:p>
        </w:tc>
        <w:tc>
          <w:tcPr>
            <w:tcW w:type="dxa" w:w="1881"/>
          </w:tcPr>
          <w:p>
            <w:pPr>
              <w:spacing w:before="40" w:after="40"/>
            </w:pPr>
            <w:r>
              <w:rPr>
                <w:sz w:val="20"/>
              </w:rPr>
            </w:r>
            <w:r>
              <w:rPr>
                <w:sz w:val="20"/>
              </w:rPr>
              <w:t>28-Mar-2026</w:t>
            </w:r>
          </w:p>
        </w:tc>
        <w:tc>
          <w:tcPr>
            <w:tcW w:type="dxa" w:w="1881"/>
          </w:tcPr>
          <w:p>
            <w:pPr>
              <w:spacing w:before="40" w:after="40"/>
            </w:pPr>
            <w:r>
              <w:rPr>
                <w:sz w:val="20"/>
              </w:rPr>
            </w:r>
            <w:r>
              <w:rPr>
                <w:sz w:val="20"/>
              </w:rPr>
              <w:t>Mr. Rajesh Mehta</w:t>
            </w:r>
          </w:p>
        </w:tc>
        <w:tc>
          <w:tcPr>
            <w:tcW w:type="dxa" w:w="1881"/>
          </w:tcPr>
          <w:p>
            <w:pPr>
              <w:spacing w:before="40" w:after="40"/>
            </w:pPr>
            <w:r>
              <w:rPr>
                <w:sz w:val="20"/>
              </w:rPr>
            </w:r>
            <w:r>
              <w:rPr>
                <w:sz w:val="20"/>
              </w:rPr>
              <w:t>CISO</w:t>
            </w:r>
          </w:p>
        </w:tc>
        <w:tc>
          <w:tcPr>
            <w:tcW w:type="dxa" w:w="1881"/>
          </w:tcPr>
          <w:p>
            <w:pPr>
              <w:spacing w:before="40" w:after="40"/>
            </w:pPr>
            <w:r>
              <w:rPr>
                <w:sz w:val="20"/>
              </w:rPr>
            </w:r>
            <w:r>
              <w:rPr>
                <w:sz w:val="20"/>
              </w:rPr>
              <w:t>Final – Approved</w:t>
            </w:r>
          </w:p>
        </w:tc>
      </w:tr>
      <w:tr>
        <w:tc>
          <w:tcPr>
            <w:tcW w:type="dxa" w:w="1881"/>
            <w:shd w:fill="F2F7FB"/>
          </w:tcPr>
          <w:p>
            <w:pPr>
              <w:spacing w:before="40" w:after="40"/>
            </w:pPr>
            <w:r>
              <w:rPr>
                <w:sz w:val="20"/>
              </w:rPr>
            </w:r>
            <w:r>
              <w:rPr>
                <w:sz w:val="20"/>
              </w:rPr>
              <w:t>1.0</w:t>
            </w:r>
          </w:p>
        </w:tc>
        <w:tc>
          <w:tcPr>
            <w:tcW w:type="dxa" w:w="1881"/>
            <w:shd w:fill="F2F7FB"/>
          </w:tcPr>
          <w:p>
            <w:pPr>
              <w:spacing w:before="40" w:after="40"/>
            </w:pPr>
            <w:r>
              <w:rPr>
                <w:sz w:val="20"/>
              </w:rPr>
            </w:r>
            <w:r>
              <w:rPr>
                <w:sz w:val="20"/>
              </w:rPr>
              <w:t>01-Apr-2026</w:t>
            </w:r>
          </w:p>
        </w:tc>
        <w:tc>
          <w:tcPr>
            <w:tcW w:type="dxa" w:w="1881"/>
            <w:shd w:fill="F2F7FB"/>
          </w:tcPr>
          <w:p>
            <w:pPr>
              <w:spacing w:before="40" w:after="40"/>
            </w:pPr>
            <w:r>
              <w:rPr>
                <w:sz w:val="20"/>
              </w:rPr>
            </w:r>
            <w:r>
              <w:rPr>
                <w:sz w:val="20"/>
              </w:rPr>
              <w:t>Board IT Committee</w:t>
            </w:r>
          </w:p>
        </w:tc>
        <w:tc>
          <w:tcPr>
            <w:tcW w:type="dxa" w:w="1881"/>
            <w:shd w:fill="F2F7FB"/>
          </w:tcPr>
          <w:p>
            <w:pPr>
              <w:spacing w:before="40" w:after="40"/>
            </w:pPr>
            <w:r>
              <w:rPr>
                <w:sz w:val="20"/>
              </w:rPr>
            </w:r>
            <w:r>
              <w:rPr>
                <w:sz w:val="20"/>
              </w:rPr>
              <w:t>Chairman – IT Committee</w:t>
            </w:r>
          </w:p>
        </w:tc>
        <w:tc>
          <w:tcPr>
            <w:tcW w:type="dxa" w:w="1881"/>
            <w:shd w:fill="F2F7FB"/>
          </w:tcPr>
          <w:p>
            <w:pPr>
              <w:spacing w:before="40" w:after="40"/>
            </w:pPr>
            <w:r>
              <w:rPr>
                <w:sz w:val="20"/>
              </w:rPr>
            </w:r>
            <w:r>
              <w:rPr>
                <w:sz w:val="20"/>
              </w:rPr>
              <w:t>Approved for Implementation</w:t>
            </w:r>
          </w:p>
        </w:tc>
      </w:tr>
    </w:tbl>
    <w:p/>
    <w:p>
      <w:pPr>
        <w:spacing w:before="200" w:after="80"/>
      </w:pPr>
      <w:r>
        <w:rPr>
          <w:b/>
          <w:color w:val="2C5F8A"/>
          <w:sz w:val="32"/>
        </w:rPr>
        <w:t>1. Purpose</w:t>
      </w:r>
    </w:p>
    <w:p>
      <w:pPr>
        <w:spacing w:before="20" w:after="20"/>
      </w:pPr>
      <w:r>
        <w:rPr>
          <w:sz w:val="20"/>
        </w:rPr>
        <w:t>The purpose of this Firewall Management Policy is to define the principles, standards, and procedures governing the deployment, configuration, operation, and maintenance of all firewall infrastructure within Bharat Mercantile Bank Limited (BMBL). This policy ensures that firewall rules are managed with appropriate business justification, adhere to least-privilege principles, and are reviewed periodically to maintain an effective security posture in compliance with RBI Guidelines on Cyber Resilience and IT Governance (RBI/2025-26/98).</w:t>
      </w:r>
    </w:p>
    <w:p>
      <w:pPr>
        <w:spacing w:before="200" w:after="80"/>
      </w:pPr>
      <w:r>
        <w:rPr>
          <w:b/>
          <w:color w:val="2C5F8A"/>
          <w:sz w:val="32"/>
        </w:rPr>
        <w:t>2. Scope</w:t>
      </w:r>
    </w:p>
    <w:p>
      <w:pPr>
        <w:spacing w:before="20" w:after="20"/>
      </w:pPr>
      <w:r>
        <w:rPr>
          <w:sz w:val="20"/>
        </w:rPr>
        <w:t>This policy applies to:</w:t>
      </w:r>
    </w:p>
    <w:p>
      <w:pPr>
        <w:spacing w:before="20" w:after="20"/>
        <w:ind w:left="567"/>
      </w:pPr>
      <w:r>
        <w:rPr>
          <w:sz w:val="20"/>
        </w:rPr>
        <w:t xml:space="preserve">  </w:t>
      </w:r>
      <w:r>
        <w:rPr>
          <w:sz w:val="20"/>
        </w:rPr>
        <w:t>All network firewalls (hardware, virtual, and host-based) deployed across the bank's data centers, DR sites, branch offices, and cloud environments.</w:t>
      </w:r>
    </w:p>
    <w:p>
      <w:pPr>
        <w:spacing w:before="20" w:after="20"/>
        <w:ind w:left="567"/>
      </w:pPr>
      <w:r>
        <w:rPr>
          <w:sz w:val="20"/>
        </w:rPr>
        <w:t xml:space="preserve">  </w:t>
      </w:r>
      <w:r>
        <w:rPr>
          <w:sz w:val="20"/>
        </w:rPr>
        <w:t>All security administrators, network engineers, application owners, and third-party vendors responsible for firewall rule management.</w:t>
      </w:r>
    </w:p>
    <w:p>
      <w:pPr>
        <w:spacing w:before="20" w:after="20"/>
        <w:ind w:left="567"/>
      </w:pPr>
      <w:r>
        <w:rPr>
          <w:sz w:val="20"/>
        </w:rPr>
        <w:t xml:space="preserve">  </w:t>
      </w:r>
      <w:r>
        <w:rPr>
          <w:sz w:val="20"/>
        </w:rPr>
        <w:t>Inbound, outbound, and inter-zone firewall rule sets.</w:t>
      </w:r>
    </w:p>
    <w:p>
      <w:pPr>
        <w:spacing w:before="20" w:after="20"/>
        <w:ind w:left="567"/>
      </w:pPr>
      <w:r>
        <w:rPr>
          <w:sz w:val="20"/>
        </w:rPr>
        <w:t xml:space="preserve">  </w:t>
      </w:r>
      <w:r>
        <w:rPr>
          <w:sz w:val="20"/>
        </w:rPr>
        <w:t>All environments including Production, DR, UAT, Staging, and Development.</w:t>
      </w:r>
    </w:p>
    <w:p>
      <w:pPr>
        <w:spacing w:before="200" w:after="80"/>
      </w:pPr>
      <w:r>
        <w:rPr>
          <w:b/>
          <w:color w:val="2C5F8A"/>
          <w:sz w:val="32"/>
        </w:rPr>
        <w:t>3. Regulatory Compliance</w:t>
      </w:r>
    </w:p>
    <w:tbl>
      <w:tblPr>
        <w:tblStyle w:val="TableGrid"/>
        <w:tblW w:type="auto" w:w="0"/>
        <w:jc w:val="center"/>
        <w:tblLook w:firstColumn="1" w:firstRow="1" w:lastColumn="0" w:lastRow="0" w:noHBand="0" w:noVBand="1" w:val="04A0"/>
      </w:tblPr>
      <w:tblGrid>
        <w:gridCol w:w="4703"/>
        <w:gridCol w:w="4703"/>
      </w:tblGrid>
      <w:tr>
        <w:tc>
          <w:tcPr>
            <w:tcW w:type="dxa" w:w="4703"/>
            <w:shd w:fill="1B3A5C"/>
          </w:tcPr>
          <w:p>
            <w:pPr>
              <w:spacing w:before="40" w:after="40"/>
            </w:pPr>
            <w:r>
              <w:rPr>
                <w:b/>
                <w:color w:val="FFFFFF"/>
                <w:sz w:val="20"/>
              </w:rPr>
            </w:r>
            <w:r>
              <w:rPr>
                <w:b/>
                <w:color w:val="FFFFFF"/>
                <w:sz w:val="20"/>
              </w:rPr>
              <w:t>**Regulation / Standard**</w:t>
            </w:r>
          </w:p>
        </w:tc>
        <w:tc>
          <w:tcPr>
            <w:tcW w:type="dxa" w:w="4703"/>
            <w:shd w:fill="1B3A5C"/>
          </w:tcPr>
          <w:p>
            <w:pPr>
              <w:spacing w:before="40" w:after="40"/>
            </w:pPr>
            <w:r>
              <w:rPr>
                <w:b/>
                <w:color w:val="FFFFFF"/>
                <w:sz w:val="20"/>
              </w:rPr>
            </w:r>
            <w:r>
              <w:rPr>
                <w:b/>
                <w:color w:val="FFFFFF"/>
                <w:sz w:val="20"/>
              </w:rPr>
              <w:t>**Applicable Clause**</w:t>
            </w:r>
          </w:p>
        </w:tc>
      </w:tr>
      <w:tr>
        <w:tc>
          <w:tcPr>
            <w:tcW w:type="dxa" w:w="4703"/>
          </w:tcPr>
          <w:p>
            <w:pPr>
              <w:spacing w:before="40" w:after="40"/>
            </w:pPr>
            <w:r>
              <w:rPr>
                <w:sz w:val="20"/>
              </w:rPr>
            </w:r>
            <w:r>
              <w:rPr>
                <w:sz w:val="20"/>
              </w:rPr>
              <w:t>RBI Cyber Resilience Framework</w:t>
            </w:r>
          </w:p>
        </w:tc>
        <w:tc>
          <w:tcPr>
            <w:tcW w:type="dxa" w:w="4703"/>
          </w:tcPr>
          <w:p>
            <w:pPr>
              <w:spacing w:before="40" w:after="40"/>
            </w:pPr>
            <w:r>
              <w:rPr>
                <w:sz w:val="20"/>
              </w:rPr>
            </w:r>
            <w:r>
              <w:rPr>
                <w:sz w:val="20"/>
              </w:rPr>
              <w:t>Section 3.4 - Network Security</w:t>
            </w:r>
          </w:p>
        </w:tc>
      </w:tr>
      <w:tr>
        <w:tc>
          <w:tcPr>
            <w:tcW w:type="dxa" w:w="4703"/>
            <w:shd w:fill="F2F7FB"/>
          </w:tcPr>
          <w:p>
            <w:pPr>
              <w:spacing w:before="40" w:after="40"/>
            </w:pPr>
            <w:r>
              <w:rPr>
                <w:sz w:val="20"/>
              </w:rPr>
            </w:r>
            <w:r>
              <w:rPr>
                <w:sz w:val="20"/>
              </w:rPr>
              <w:t>RBI IT Governance Guidelines</w:t>
            </w:r>
          </w:p>
        </w:tc>
        <w:tc>
          <w:tcPr>
            <w:tcW w:type="dxa" w:w="4703"/>
            <w:shd w:fill="F2F7FB"/>
          </w:tcPr>
          <w:p>
            <w:pPr>
              <w:spacing w:before="40" w:after="40"/>
            </w:pPr>
            <w:r>
              <w:rPr>
                <w:sz w:val="20"/>
              </w:rPr>
            </w:r>
            <w:r>
              <w:rPr>
                <w:sz w:val="20"/>
              </w:rPr>
              <w:t>Clause 3.4.1 – Firewall Rule Management</w:t>
            </w:r>
          </w:p>
        </w:tc>
      </w:tr>
      <w:tr>
        <w:tc>
          <w:tcPr>
            <w:tcW w:type="dxa" w:w="4703"/>
          </w:tcPr>
          <w:p>
            <w:pPr>
              <w:spacing w:before="40" w:after="40"/>
            </w:pPr>
            <w:r>
              <w:rPr>
                <w:sz w:val="20"/>
              </w:rPr>
            </w:r>
            <w:r>
              <w:rPr>
                <w:sz w:val="20"/>
              </w:rPr>
              <w:t>ISO/IEC 27001:2022</w:t>
            </w:r>
          </w:p>
        </w:tc>
        <w:tc>
          <w:tcPr>
            <w:tcW w:type="dxa" w:w="4703"/>
          </w:tcPr>
          <w:p>
            <w:pPr>
              <w:spacing w:before="40" w:after="40"/>
            </w:pPr>
            <w:r>
              <w:rPr>
                <w:sz w:val="20"/>
              </w:rPr>
            </w:r>
            <w:r>
              <w:rPr>
                <w:sz w:val="20"/>
              </w:rPr>
              <w:t>Annex A 8.20 – Network Controls</w:t>
            </w:r>
          </w:p>
        </w:tc>
      </w:tr>
      <w:tr>
        <w:tc>
          <w:tcPr>
            <w:tcW w:type="dxa" w:w="4703"/>
            <w:shd w:fill="F2F7FB"/>
          </w:tcPr>
          <w:p>
            <w:pPr>
              <w:spacing w:before="40" w:after="40"/>
            </w:pPr>
            <w:r>
              <w:rPr>
                <w:sz w:val="20"/>
              </w:rPr>
            </w:r>
            <w:r>
              <w:rPr>
                <w:sz w:val="20"/>
              </w:rPr>
              <w:t>ISACA COBIT 2019</w:t>
            </w:r>
          </w:p>
        </w:tc>
        <w:tc>
          <w:tcPr>
            <w:tcW w:type="dxa" w:w="4703"/>
            <w:shd w:fill="F2F7FB"/>
          </w:tcPr>
          <w:p>
            <w:pPr>
              <w:spacing w:before="40" w:after="40"/>
            </w:pPr>
            <w:r>
              <w:rPr>
                <w:sz w:val="20"/>
              </w:rPr>
            </w:r>
            <w:r>
              <w:rPr>
                <w:sz w:val="20"/>
              </w:rPr>
              <w:t>APO13 – Manage Security</w:t>
            </w:r>
          </w:p>
        </w:tc>
      </w:tr>
      <w:tr>
        <w:tc>
          <w:tcPr>
            <w:tcW w:type="dxa" w:w="4703"/>
          </w:tcPr>
          <w:p>
            <w:pPr>
              <w:spacing w:before="40" w:after="40"/>
            </w:pPr>
            <w:r>
              <w:rPr>
                <w:sz w:val="20"/>
              </w:rPr>
            </w:r>
            <w:r>
              <w:rPr>
                <w:sz w:val="20"/>
              </w:rPr>
              <w:t>IT Act 2000 (Amended 2008)</w:t>
            </w:r>
          </w:p>
        </w:tc>
        <w:tc>
          <w:tcPr>
            <w:tcW w:type="dxa" w:w="4703"/>
          </w:tcPr>
          <w:p>
            <w:pPr>
              <w:spacing w:before="40" w:after="40"/>
            </w:pPr>
            <w:r>
              <w:rPr>
                <w:sz w:val="20"/>
              </w:rPr>
            </w:r>
            <w:r>
              <w:rPr>
                <w:sz w:val="20"/>
              </w:rPr>
              <w:t>Section 43A – Data Protection</w:t>
            </w:r>
          </w:p>
        </w:tc>
      </w:tr>
      <w:tr>
        <w:tc>
          <w:tcPr>
            <w:tcW w:type="dxa" w:w="4703"/>
            <w:shd w:fill="F2F7FB"/>
          </w:tcPr>
          <w:p>
            <w:pPr>
              <w:spacing w:before="40" w:after="40"/>
            </w:pPr>
            <w:r>
              <w:rPr>
                <w:sz w:val="20"/>
              </w:rPr>
            </w:r>
            <w:r>
              <w:rPr>
                <w:sz w:val="20"/>
              </w:rPr>
              <w:t>PCI DSS v4.0 (if applicable)</w:t>
            </w:r>
          </w:p>
        </w:tc>
        <w:tc>
          <w:tcPr>
            <w:tcW w:type="dxa" w:w="4703"/>
            <w:shd w:fill="F2F7FB"/>
          </w:tcPr>
          <w:p>
            <w:pPr>
              <w:spacing w:before="40" w:after="40"/>
            </w:pPr>
            <w:r>
              <w:rPr>
                <w:sz w:val="20"/>
              </w:rPr>
            </w:r>
            <w:r>
              <w:rPr>
                <w:sz w:val="20"/>
              </w:rPr>
              <w:t>Requirement 1.3 – Firewall Configuration</w:t>
            </w:r>
          </w:p>
        </w:tc>
      </w:tr>
    </w:tbl>
    <w:p/>
    <w:p>
      <w:pPr>
        <w:spacing w:before="200" w:after="80"/>
      </w:pPr>
      <w:r>
        <w:rPr>
          <w:b/>
          <w:color w:val="2C5F8A"/>
          <w:sz w:val="32"/>
        </w:rPr>
        <w:t>4. Policy Statements</w:t>
      </w:r>
    </w:p>
    <w:p>
      <w:pPr>
        <w:spacing w:before="160" w:after="60"/>
      </w:pPr>
      <w:r>
        <w:rPr>
          <w:b/>
          <w:color w:val="3A7CA5"/>
          <w:sz w:val="26"/>
        </w:rPr>
        <w:t>4.1 Firewall Rule Management Principles</w:t>
      </w:r>
    </w:p>
    <w:p>
      <w:pPr>
        <w:spacing w:before="20" w:after="20"/>
      </w:pPr>
      <w:r>
        <w:rPr>
          <w:sz w:val="20"/>
        </w:rPr>
        <w:t xml:space="preserve">1. </w:t>
      </w:r>
      <w:r>
        <w:rPr>
          <w:b/>
          <w:sz w:val="20"/>
        </w:rPr>
        <w:t>Least Privilege</w:t>
      </w:r>
      <w:r>
        <w:rPr>
          <w:sz w:val="20"/>
        </w:rPr>
        <w:t>: All firewall rules shall be based on the principle of least privilege. Only explicitly required source/destination IP addresses, ports, and protocols shall be permitted.</w:t>
      </w:r>
    </w:p>
    <w:p>
      <w:pPr>
        <w:spacing w:before="20" w:after="20"/>
      </w:pPr>
      <w:r>
        <w:rPr>
          <w:sz w:val="20"/>
        </w:rPr>
        <w:t xml:space="preserve">2. </w:t>
      </w:r>
      <w:r>
        <w:rPr>
          <w:b/>
          <w:sz w:val="20"/>
        </w:rPr>
        <w:t>Default Deny</w:t>
      </w:r>
      <w:r>
        <w:rPr>
          <w:sz w:val="20"/>
        </w:rPr>
        <w:t>: All firewall rule bases shall implement a default-deny stance for both inbound and outbound traffic.</w:t>
      </w:r>
    </w:p>
    <w:p>
      <w:pPr>
        <w:spacing w:before="20" w:after="20"/>
      </w:pPr>
      <w:r>
        <w:rPr>
          <w:sz w:val="20"/>
        </w:rPr>
        <w:t xml:space="preserve">3. </w:t>
      </w:r>
      <w:r>
        <w:rPr>
          <w:b/>
          <w:sz w:val="20"/>
        </w:rPr>
        <w:t>Business Justification</w:t>
      </w:r>
      <w:r>
        <w:rPr>
          <w:sz w:val="20"/>
        </w:rPr>
        <w:t>: Every firewall rule shall be accompanied by a documented business justification approved by the respective application owner and the Information Security Group. Rules without valid justification shall be automatically disabled.</w:t>
      </w:r>
    </w:p>
    <w:p>
      <w:pPr>
        <w:spacing w:before="20" w:after="20"/>
      </w:pPr>
      <w:r>
        <w:rPr>
          <w:sz w:val="20"/>
        </w:rPr>
        <w:t xml:space="preserve">4. </w:t>
      </w:r>
      <w:r>
        <w:rPr>
          <w:b/>
          <w:sz w:val="20"/>
        </w:rPr>
        <w:t>Rule Ownership</w:t>
      </w:r>
      <w:r>
        <w:rPr>
          <w:sz w:val="20"/>
        </w:rPr>
        <w:t>: Every rule shall have an identified owner (application owner or system owner) who is responsible for confirming continued business need.</w:t>
      </w:r>
    </w:p>
    <w:p>
      <w:pPr>
        <w:spacing w:before="20" w:after="20"/>
      </w:pPr>
      <w:r>
        <w:rPr>
          <w:sz w:val="20"/>
        </w:rPr>
        <w:t xml:space="preserve">5. </w:t>
      </w:r>
      <w:r>
        <w:rPr>
          <w:b/>
          <w:sz w:val="20"/>
        </w:rPr>
        <w:t>Segregation of Duties</w:t>
      </w:r>
      <w:r>
        <w:rPr>
          <w:sz w:val="20"/>
        </w:rPr>
        <w:t>: Rule creation, approval, and implementation shall be performed by different individuals. No single person shall create and approve a rule.</w:t>
      </w:r>
    </w:p>
    <w:p>
      <w:pPr>
        <w:spacing w:before="160" w:after="60"/>
      </w:pPr>
      <w:r>
        <w:rPr>
          <w:b/>
          <w:color w:val="3A7CA5"/>
          <w:sz w:val="26"/>
        </w:rPr>
        <w:t>4.2 Port / Protocol Standards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3A5C"/>
          </w:tcPr>
          <w:p>
            <w:pPr>
              <w:spacing w:before="40" w:after="40"/>
            </w:pPr>
            <w:r>
              <w:rPr>
                <w:b/>
                <w:color w:val="FFFFFF"/>
                <w:sz w:val="20"/>
              </w:rPr>
            </w:r>
            <w:r>
              <w:rPr>
                <w:b/>
                <w:color w:val="FFFFFF"/>
                <w:sz w:val="20"/>
              </w:rPr>
              <w:t>**Service**</w:t>
            </w:r>
          </w:p>
        </w:tc>
        <w:tc>
          <w:tcPr>
            <w:tcW w:type="dxa" w:w="2351"/>
            <w:shd w:fill="1B3A5C"/>
          </w:tcPr>
          <w:p>
            <w:pPr>
              <w:spacing w:before="40" w:after="40"/>
            </w:pPr>
            <w:r>
              <w:rPr>
                <w:b/>
                <w:color w:val="FFFFFF"/>
                <w:sz w:val="20"/>
              </w:rPr>
            </w:r>
            <w:r>
              <w:rPr>
                <w:b/>
                <w:color w:val="FFFFFF"/>
                <w:sz w:val="20"/>
              </w:rPr>
              <w:t>**Permitted Port(s)**</w:t>
            </w:r>
          </w:p>
        </w:tc>
        <w:tc>
          <w:tcPr>
            <w:tcW w:type="dxa" w:w="2351"/>
            <w:shd w:fill="1B3A5C"/>
          </w:tcPr>
          <w:p>
            <w:pPr>
              <w:spacing w:before="40" w:after="40"/>
            </w:pPr>
            <w:r>
              <w:rPr>
                <w:b/>
                <w:color w:val="FFFFFF"/>
                <w:sz w:val="20"/>
              </w:rPr>
            </w:r>
            <w:r>
              <w:rPr>
                <w:b/>
                <w:color w:val="FFFFFF"/>
                <w:sz w:val="20"/>
              </w:rPr>
              <w:t>**Protocol**</w:t>
            </w:r>
          </w:p>
        </w:tc>
        <w:tc>
          <w:tcPr>
            <w:tcW w:type="dxa" w:w="2351"/>
            <w:shd w:fill="1B3A5C"/>
          </w:tcPr>
          <w:p>
            <w:pPr>
              <w:spacing w:before="40" w:after="40"/>
            </w:pPr>
            <w:r>
              <w:rPr>
                <w:b/>
                <w:color w:val="FFFFFF"/>
                <w:sz w:val="20"/>
              </w:rPr>
            </w:r>
            <w:r>
              <w:rPr>
                <w:b/>
                <w:color w:val="FFFFFF"/>
                <w:sz w:val="20"/>
              </w:rPr>
              <w:t>**Conditional Restrictions**</w:t>
            </w:r>
          </w:p>
        </w:tc>
      </w:tr>
      <w:tr>
        <w:tc>
          <w:tcPr>
            <w:tcW w:type="dxa" w:w="2351"/>
          </w:tcPr>
          <w:p>
            <w:pPr>
              <w:spacing w:before="40" w:after="40"/>
            </w:pPr>
            <w:r>
              <w:rPr>
                <w:sz w:val="20"/>
              </w:rPr>
            </w:r>
            <w:r>
              <w:rPr>
                <w:sz w:val="20"/>
              </w:rPr>
              <w:t>HTTPS</w:t>
            </w:r>
          </w:p>
        </w:tc>
        <w:tc>
          <w:tcPr>
            <w:tcW w:type="dxa" w:w="2351"/>
          </w:tcPr>
          <w:p>
            <w:pPr>
              <w:spacing w:before="40" w:after="40"/>
            </w:pPr>
            <w:r>
              <w:rPr>
                <w:sz w:val="20"/>
              </w:rPr>
            </w:r>
            <w:r>
              <w:rPr>
                <w:sz w:val="20"/>
              </w:rPr>
              <w:t>443</w:t>
            </w:r>
          </w:p>
        </w:tc>
        <w:tc>
          <w:tcPr>
            <w:tcW w:type="dxa" w:w="2351"/>
          </w:tcPr>
          <w:p>
            <w:pPr>
              <w:spacing w:before="40" w:after="40"/>
            </w:pPr>
            <w:r>
              <w:rPr>
                <w:sz w:val="20"/>
              </w:rPr>
            </w:r>
            <w:r>
              <w:rPr>
                <w:sz w:val="20"/>
              </w:rPr>
              <w:t>TCP</w:t>
            </w:r>
          </w:p>
        </w:tc>
        <w:tc>
          <w:tcPr>
            <w:tcW w:type="dxa" w:w="2351"/>
          </w:tcPr>
          <w:p>
            <w:pPr>
              <w:spacing w:before="40" w:after="40"/>
            </w:pPr>
            <w:r>
              <w:rPr>
                <w:sz w:val="20"/>
              </w:rPr>
            </w:r>
            <w:r>
              <w:rPr>
                <w:sz w:val="20"/>
              </w:rPr>
              <w:t>Mandatory TLS 1.2 or higher</w:t>
            </w:r>
          </w:p>
        </w:tc>
      </w:tr>
      <w:tr>
        <w:tc>
          <w:tcPr>
            <w:tcW w:type="dxa" w:w="2351"/>
            <w:shd w:fill="F2F7FB"/>
          </w:tcPr>
          <w:p>
            <w:pPr>
              <w:spacing w:before="40" w:after="40"/>
            </w:pPr>
            <w:r>
              <w:rPr>
                <w:sz w:val="20"/>
              </w:rPr>
            </w:r>
            <w:r>
              <w:rPr>
                <w:sz w:val="20"/>
              </w:rPr>
              <w:t>HTTP</w:t>
            </w:r>
          </w:p>
        </w:tc>
        <w:tc>
          <w:tcPr>
            <w:tcW w:type="dxa" w:w="2351"/>
            <w:shd w:fill="F2F7FB"/>
          </w:tcPr>
          <w:p>
            <w:pPr>
              <w:spacing w:before="40" w:after="40"/>
            </w:pPr>
            <w:r>
              <w:rPr>
                <w:sz w:val="20"/>
              </w:rPr>
            </w:r>
            <w:r>
              <w:rPr>
                <w:sz w:val="20"/>
              </w:rPr>
              <w:t>80</w:t>
            </w:r>
          </w:p>
        </w:tc>
        <w:tc>
          <w:tcPr>
            <w:tcW w:type="dxa" w:w="2351"/>
            <w:shd w:fill="F2F7FB"/>
          </w:tcPr>
          <w:p>
            <w:pPr>
              <w:spacing w:before="40" w:after="40"/>
            </w:pPr>
            <w:r>
              <w:rPr>
                <w:sz w:val="20"/>
              </w:rPr>
            </w:r>
            <w:r>
              <w:rPr>
                <w:sz w:val="20"/>
              </w:rPr>
              <w:t>TCP</w:t>
            </w:r>
          </w:p>
        </w:tc>
        <w:tc>
          <w:tcPr>
            <w:tcW w:type="dxa" w:w="2351"/>
            <w:shd w:fill="F2F7FB"/>
          </w:tcPr>
          <w:p>
            <w:pPr>
              <w:spacing w:before="40" w:after="40"/>
            </w:pPr>
            <w:r>
              <w:rPr>
                <w:sz w:val="20"/>
              </w:rPr>
            </w:r>
            <w:r>
              <w:rPr>
                <w:b/>
                <w:sz w:val="20"/>
              </w:rPr>
              <w:t>Only permitted with CISO waiver</w:t>
            </w:r>
            <w:r>
              <w:rPr>
                <w:sz w:val="20"/>
              </w:rPr>
              <w:t>; redirect to HTTPS mandatory</w:t>
            </w:r>
          </w:p>
        </w:tc>
      </w:tr>
      <w:tr>
        <w:tc>
          <w:tcPr>
            <w:tcW w:type="dxa" w:w="2351"/>
          </w:tcPr>
          <w:p>
            <w:pPr>
              <w:spacing w:before="40" w:after="40"/>
            </w:pPr>
            <w:r>
              <w:rPr>
                <w:sz w:val="20"/>
              </w:rPr>
            </w:r>
            <w:r>
              <w:rPr>
                <w:sz w:val="20"/>
              </w:rPr>
              <w:t>SSH</w:t>
            </w:r>
          </w:p>
        </w:tc>
        <w:tc>
          <w:tcPr>
            <w:tcW w:type="dxa" w:w="2351"/>
          </w:tcPr>
          <w:p>
            <w:pPr>
              <w:spacing w:before="40" w:after="40"/>
            </w:pPr>
            <w:r>
              <w:rPr>
                <w:sz w:val="20"/>
              </w:rPr>
            </w:r>
            <w:r>
              <w:rPr>
                <w:sz w:val="20"/>
              </w:rPr>
              <w:t>22</w:t>
            </w:r>
          </w:p>
        </w:tc>
        <w:tc>
          <w:tcPr>
            <w:tcW w:type="dxa" w:w="2351"/>
          </w:tcPr>
          <w:p>
            <w:pPr>
              <w:spacing w:before="40" w:after="40"/>
            </w:pPr>
            <w:r>
              <w:rPr>
                <w:sz w:val="20"/>
              </w:rPr>
            </w:r>
            <w:r>
              <w:rPr>
                <w:sz w:val="20"/>
              </w:rPr>
              <w:t>TCP</w:t>
            </w:r>
          </w:p>
        </w:tc>
        <w:tc>
          <w:tcPr>
            <w:tcW w:type="dxa" w:w="2351"/>
          </w:tcPr>
          <w:p>
            <w:pPr>
              <w:spacing w:before="40" w:after="40"/>
            </w:pPr>
            <w:r>
              <w:rPr>
                <w:sz w:val="20"/>
              </w:rPr>
            </w:r>
            <w:r>
              <w:rPr>
                <w:sz w:val="20"/>
              </w:rPr>
              <w:t>Restricted to management subnet only</w:t>
            </w:r>
          </w:p>
        </w:tc>
      </w:tr>
      <w:tr>
        <w:tc>
          <w:tcPr>
            <w:tcW w:type="dxa" w:w="2351"/>
            <w:shd w:fill="F2F7FB"/>
          </w:tcPr>
          <w:p>
            <w:pPr>
              <w:spacing w:before="40" w:after="40"/>
            </w:pPr>
            <w:r>
              <w:rPr>
                <w:sz w:val="20"/>
              </w:rPr>
            </w:r>
            <w:r>
              <w:rPr>
                <w:sz w:val="20"/>
              </w:rPr>
              <w:t>RDP</w:t>
            </w:r>
          </w:p>
        </w:tc>
        <w:tc>
          <w:tcPr>
            <w:tcW w:type="dxa" w:w="2351"/>
            <w:shd w:fill="F2F7FB"/>
          </w:tcPr>
          <w:p>
            <w:pPr>
              <w:spacing w:before="40" w:after="40"/>
            </w:pPr>
            <w:r>
              <w:rPr>
                <w:sz w:val="20"/>
              </w:rPr>
            </w:r>
            <w:r>
              <w:rPr>
                <w:sz w:val="20"/>
              </w:rPr>
              <w:t>3389</w:t>
            </w:r>
          </w:p>
        </w:tc>
        <w:tc>
          <w:tcPr>
            <w:tcW w:type="dxa" w:w="2351"/>
            <w:shd w:fill="F2F7FB"/>
          </w:tcPr>
          <w:p>
            <w:pPr>
              <w:spacing w:before="40" w:after="40"/>
            </w:pPr>
            <w:r>
              <w:rPr>
                <w:sz w:val="20"/>
              </w:rPr>
            </w:r>
            <w:r>
              <w:rPr>
                <w:sz w:val="20"/>
              </w:rPr>
              <w:t>TCP</w:t>
            </w:r>
          </w:p>
        </w:tc>
        <w:tc>
          <w:tcPr>
            <w:tcW w:type="dxa" w:w="2351"/>
            <w:shd w:fill="F2F7FB"/>
          </w:tcPr>
          <w:p>
            <w:pPr>
              <w:spacing w:before="40" w:after="40"/>
            </w:pPr>
            <w:r>
              <w:rPr>
                <w:sz w:val="20"/>
              </w:rPr>
            </w:r>
            <w:r>
              <w:rPr>
                <w:sz w:val="20"/>
              </w:rPr>
              <w:t>Prohibited over internet; allowed only via jump host</w:t>
            </w:r>
          </w:p>
        </w:tc>
      </w:tr>
      <w:tr>
        <w:tc>
          <w:tcPr>
            <w:tcW w:type="dxa" w:w="2351"/>
          </w:tcPr>
          <w:p>
            <w:pPr>
              <w:spacing w:before="40" w:after="40"/>
            </w:pPr>
            <w:r>
              <w:rPr>
                <w:sz w:val="20"/>
              </w:rPr>
            </w:r>
            <w:r>
              <w:rPr>
                <w:sz w:val="20"/>
              </w:rPr>
              <w:t>FTP</w:t>
            </w:r>
          </w:p>
        </w:tc>
        <w:tc>
          <w:tcPr>
            <w:tcW w:type="dxa" w:w="2351"/>
          </w:tcPr>
          <w:p>
            <w:pPr>
              <w:spacing w:before="40" w:after="40"/>
            </w:pPr>
            <w:r>
              <w:rPr>
                <w:sz w:val="20"/>
              </w:rPr>
            </w:r>
            <w:r>
              <w:rPr>
                <w:sz w:val="20"/>
              </w:rPr>
              <w:t>20, 21</w:t>
            </w:r>
          </w:p>
        </w:tc>
        <w:tc>
          <w:tcPr>
            <w:tcW w:type="dxa" w:w="2351"/>
          </w:tcPr>
          <w:p>
            <w:pPr>
              <w:spacing w:before="40" w:after="40"/>
            </w:pPr>
            <w:r>
              <w:rPr>
                <w:sz w:val="20"/>
              </w:rPr>
            </w:r>
            <w:r>
              <w:rPr>
                <w:sz w:val="20"/>
              </w:rPr>
              <w:t>TCP</w:t>
            </w:r>
          </w:p>
        </w:tc>
        <w:tc>
          <w:tcPr>
            <w:tcW w:type="dxa" w:w="2351"/>
          </w:tcPr>
          <w:p>
            <w:pPr>
              <w:spacing w:before="40" w:after="40"/>
            </w:pPr>
            <w:r>
              <w:rPr>
                <w:sz w:val="20"/>
              </w:rPr>
            </w:r>
            <w:r>
              <w:rPr>
                <w:b/>
                <w:sz w:val="20"/>
              </w:rPr>
              <w:t>Prohibited</w:t>
            </w:r>
            <w:r>
              <w:rPr>
                <w:sz w:val="20"/>
              </w:rPr>
              <w:t xml:space="preserve"> unless CISO-approved waiver in place</w:t>
            </w:r>
          </w:p>
        </w:tc>
      </w:tr>
      <w:tr>
        <w:tc>
          <w:tcPr>
            <w:tcW w:type="dxa" w:w="2351"/>
            <w:shd w:fill="F2F7FB"/>
          </w:tcPr>
          <w:p>
            <w:pPr>
              <w:spacing w:before="40" w:after="40"/>
            </w:pPr>
            <w:r>
              <w:rPr>
                <w:sz w:val="20"/>
              </w:rPr>
            </w:r>
            <w:r>
              <w:rPr>
                <w:sz w:val="20"/>
              </w:rPr>
              <w:t>SFTP / SCP</w:t>
            </w:r>
          </w:p>
        </w:tc>
        <w:tc>
          <w:tcPr>
            <w:tcW w:type="dxa" w:w="2351"/>
            <w:shd w:fill="F2F7FB"/>
          </w:tcPr>
          <w:p>
            <w:pPr>
              <w:spacing w:before="40" w:after="40"/>
            </w:pPr>
            <w:r>
              <w:rPr>
                <w:sz w:val="20"/>
              </w:rPr>
            </w:r>
            <w:r>
              <w:rPr>
                <w:sz w:val="20"/>
              </w:rPr>
              <w:t>22</w:t>
            </w:r>
          </w:p>
        </w:tc>
        <w:tc>
          <w:tcPr>
            <w:tcW w:type="dxa" w:w="2351"/>
            <w:shd w:fill="F2F7FB"/>
          </w:tcPr>
          <w:p>
            <w:pPr>
              <w:spacing w:before="40" w:after="40"/>
            </w:pPr>
            <w:r>
              <w:rPr>
                <w:sz w:val="20"/>
              </w:rPr>
            </w:r>
            <w:r>
              <w:rPr>
                <w:sz w:val="20"/>
              </w:rPr>
              <w:t>TCP</w:t>
            </w:r>
          </w:p>
        </w:tc>
        <w:tc>
          <w:tcPr>
            <w:tcW w:type="dxa" w:w="2351"/>
            <w:shd w:fill="F2F7FB"/>
          </w:tcPr>
          <w:p>
            <w:pPr>
              <w:spacing w:before="40" w:after="40"/>
            </w:pPr>
            <w:r>
              <w:rPr>
                <w:sz w:val="20"/>
              </w:rPr>
            </w:r>
            <w:r>
              <w:rPr>
                <w:sz w:val="20"/>
              </w:rPr>
              <w:t>Permitted with key-based authentication</w:t>
            </w:r>
          </w:p>
        </w:tc>
      </w:tr>
      <w:tr>
        <w:tc>
          <w:tcPr>
            <w:tcW w:type="dxa" w:w="2351"/>
          </w:tcPr>
          <w:p>
            <w:pPr>
              <w:spacing w:before="40" w:after="40"/>
            </w:pPr>
            <w:r>
              <w:rPr>
                <w:sz w:val="20"/>
              </w:rPr>
            </w:r>
            <w:r>
              <w:rPr>
                <w:sz w:val="20"/>
              </w:rPr>
              <w:t>SMTP</w:t>
            </w:r>
          </w:p>
        </w:tc>
        <w:tc>
          <w:tcPr>
            <w:tcW w:type="dxa" w:w="2351"/>
          </w:tcPr>
          <w:p>
            <w:pPr>
              <w:spacing w:before="40" w:after="40"/>
            </w:pPr>
            <w:r>
              <w:rPr>
                <w:sz w:val="20"/>
              </w:rPr>
            </w:r>
            <w:r>
              <w:rPr>
                <w:sz w:val="20"/>
              </w:rPr>
              <w:t>25</w:t>
            </w:r>
          </w:p>
        </w:tc>
        <w:tc>
          <w:tcPr>
            <w:tcW w:type="dxa" w:w="2351"/>
          </w:tcPr>
          <w:p>
            <w:pPr>
              <w:spacing w:before="40" w:after="40"/>
            </w:pPr>
            <w:r>
              <w:rPr>
                <w:sz w:val="20"/>
              </w:rPr>
            </w:r>
            <w:r>
              <w:rPr>
                <w:sz w:val="20"/>
              </w:rPr>
              <w:t>TCP</w:t>
            </w:r>
          </w:p>
        </w:tc>
        <w:tc>
          <w:tcPr>
            <w:tcW w:type="dxa" w:w="2351"/>
          </w:tcPr>
          <w:p>
            <w:pPr>
              <w:spacing w:before="40" w:after="40"/>
            </w:pPr>
            <w:r>
              <w:rPr>
                <w:sz w:val="20"/>
              </w:rPr>
            </w:r>
            <w:r>
              <w:rPr>
                <w:sz w:val="20"/>
              </w:rPr>
              <w:t>Only through authorised mail relays</w:t>
            </w:r>
          </w:p>
        </w:tc>
      </w:tr>
      <w:tr>
        <w:tc>
          <w:tcPr>
            <w:tcW w:type="dxa" w:w="2351"/>
            <w:shd w:fill="F2F7FB"/>
          </w:tcPr>
          <w:p>
            <w:pPr>
              <w:spacing w:before="40" w:after="40"/>
            </w:pPr>
            <w:r>
              <w:rPr>
                <w:sz w:val="20"/>
              </w:rPr>
            </w:r>
            <w:r>
              <w:rPr>
                <w:sz w:val="20"/>
              </w:rPr>
              <w:t>DNS</w:t>
            </w:r>
          </w:p>
        </w:tc>
        <w:tc>
          <w:tcPr>
            <w:tcW w:type="dxa" w:w="2351"/>
            <w:shd w:fill="F2F7FB"/>
          </w:tcPr>
          <w:p>
            <w:pPr>
              <w:spacing w:before="40" w:after="40"/>
            </w:pPr>
            <w:r>
              <w:rPr>
                <w:sz w:val="20"/>
              </w:rPr>
            </w:r>
            <w:r>
              <w:rPr>
                <w:sz w:val="20"/>
              </w:rPr>
              <w:t>53</w:t>
            </w:r>
          </w:p>
        </w:tc>
        <w:tc>
          <w:tcPr>
            <w:tcW w:type="dxa" w:w="2351"/>
            <w:shd w:fill="F2F7FB"/>
          </w:tcPr>
          <w:p>
            <w:pPr>
              <w:spacing w:before="40" w:after="40"/>
            </w:pPr>
            <w:r>
              <w:rPr>
                <w:sz w:val="20"/>
              </w:rPr>
            </w:r>
            <w:r>
              <w:rPr>
                <w:sz w:val="20"/>
              </w:rPr>
              <w:t>TCP/UDP</w:t>
            </w:r>
          </w:p>
        </w:tc>
        <w:tc>
          <w:tcPr>
            <w:tcW w:type="dxa" w:w="2351"/>
            <w:shd w:fill="F2F7FB"/>
          </w:tcPr>
          <w:p>
            <w:pPr>
              <w:spacing w:before="40" w:after="40"/>
            </w:pPr>
            <w:r>
              <w:rPr>
                <w:sz w:val="20"/>
              </w:rPr>
            </w:r>
            <w:r>
              <w:rPr>
                <w:sz w:val="20"/>
              </w:rPr>
              <w:t>Internal DNS only; recursion disabled</w:t>
            </w:r>
          </w:p>
        </w:tc>
      </w:tr>
      <w:tr>
        <w:tc>
          <w:tcPr>
            <w:tcW w:type="dxa" w:w="2351"/>
          </w:tcPr>
          <w:p>
            <w:pPr>
              <w:spacing w:before="40" w:after="40"/>
            </w:pPr>
            <w:r>
              <w:rPr>
                <w:sz w:val="20"/>
              </w:rPr>
            </w:r>
            <w:r>
              <w:rPr>
                <w:sz w:val="20"/>
              </w:rPr>
              <w:t>Telnet</w:t>
            </w:r>
          </w:p>
        </w:tc>
        <w:tc>
          <w:tcPr>
            <w:tcW w:type="dxa" w:w="2351"/>
          </w:tcPr>
          <w:p>
            <w:pPr>
              <w:spacing w:before="40" w:after="40"/>
            </w:pPr>
            <w:r>
              <w:rPr>
                <w:sz w:val="20"/>
              </w:rPr>
            </w:r>
            <w:r>
              <w:rPr>
                <w:sz w:val="20"/>
              </w:rPr>
              <w:t>23</w:t>
            </w:r>
          </w:p>
        </w:tc>
        <w:tc>
          <w:tcPr>
            <w:tcW w:type="dxa" w:w="2351"/>
          </w:tcPr>
          <w:p>
            <w:pPr>
              <w:spacing w:before="40" w:after="40"/>
            </w:pPr>
            <w:r>
              <w:rPr>
                <w:sz w:val="20"/>
              </w:rPr>
            </w:r>
            <w:r>
              <w:rPr>
                <w:sz w:val="20"/>
              </w:rPr>
              <w:t>TCP</w:t>
            </w:r>
          </w:p>
        </w:tc>
        <w:tc>
          <w:tcPr>
            <w:tcW w:type="dxa" w:w="2351"/>
          </w:tcPr>
          <w:p>
            <w:pPr>
              <w:spacing w:before="40" w:after="40"/>
            </w:pPr>
            <w:r>
              <w:rPr>
                <w:sz w:val="20"/>
              </w:rPr>
            </w:r>
            <w:r>
              <w:rPr>
                <w:b/>
                <w:sz w:val="20"/>
              </w:rPr>
              <w:t>Strictly Prohibited</w:t>
            </w:r>
          </w:p>
        </w:tc>
      </w:tr>
      <w:tr>
        <w:tc>
          <w:tcPr>
            <w:tcW w:type="dxa" w:w="2351"/>
            <w:shd w:fill="F2F7FB"/>
          </w:tcPr>
          <w:p>
            <w:pPr>
              <w:spacing w:before="40" w:after="40"/>
            </w:pPr>
            <w:r>
              <w:rPr>
                <w:sz w:val="20"/>
              </w:rPr>
            </w:r>
            <w:r>
              <w:rPr>
                <w:sz w:val="20"/>
              </w:rPr>
              <w:t>SNMP</w:t>
            </w:r>
          </w:p>
        </w:tc>
        <w:tc>
          <w:tcPr>
            <w:tcW w:type="dxa" w:w="2351"/>
            <w:shd w:fill="F2F7FB"/>
          </w:tcPr>
          <w:p>
            <w:pPr>
              <w:spacing w:before="40" w:after="40"/>
            </w:pPr>
            <w:r>
              <w:rPr>
                <w:sz w:val="20"/>
              </w:rPr>
            </w:r>
            <w:r>
              <w:rPr>
                <w:sz w:val="20"/>
              </w:rPr>
              <w:t>161, 162</w:t>
            </w:r>
          </w:p>
        </w:tc>
        <w:tc>
          <w:tcPr>
            <w:tcW w:type="dxa" w:w="2351"/>
            <w:shd w:fill="F2F7FB"/>
          </w:tcPr>
          <w:p>
            <w:pPr>
              <w:spacing w:before="40" w:after="40"/>
            </w:pPr>
            <w:r>
              <w:rPr>
                <w:sz w:val="20"/>
              </w:rPr>
            </w:r>
            <w:r>
              <w:rPr>
                <w:sz w:val="20"/>
              </w:rPr>
              <w:t>UDP</w:t>
            </w:r>
          </w:p>
        </w:tc>
        <w:tc>
          <w:tcPr>
            <w:tcW w:type="dxa" w:w="2351"/>
            <w:shd w:fill="F2F7FB"/>
          </w:tcPr>
          <w:p>
            <w:pPr>
              <w:spacing w:before="40" w:after="40"/>
            </w:pPr>
            <w:r>
              <w:rPr>
                <w:sz w:val="20"/>
              </w:rPr>
            </w:r>
            <w:r>
              <w:rPr>
                <w:sz w:val="20"/>
              </w:rPr>
              <w:t>Restricted to management network; SNMPv3 only</w:t>
            </w:r>
          </w:p>
        </w:tc>
      </w:tr>
    </w:tbl>
    <w:p/>
    <w:p>
      <w:pPr>
        <w:spacing w:before="160" w:after="60"/>
      </w:pPr>
      <w:r>
        <w:rPr>
          <w:b/>
          <w:color w:val="3A7CA5"/>
          <w:sz w:val="26"/>
        </w:rPr>
        <w:t>4.3 Prohibited / Insecure Services</w:t>
      </w:r>
    </w:p>
    <w:p>
      <w:pPr>
        <w:spacing w:before="20" w:after="20"/>
      </w:pPr>
      <w:r>
        <w:rPr>
          <w:sz w:val="20"/>
        </w:rPr>
        <w:t>The following services and protocols are strictly prohibited on any firewall rule unless a documented compensatory control and CISO waiver exists:</w:t>
      </w:r>
    </w:p>
    <w:p>
      <w:pPr>
        <w:spacing w:before="20" w:after="20"/>
        <w:ind w:left="567"/>
      </w:pPr>
      <w:r>
        <w:rPr>
          <w:sz w:val="20"/>
        </w:rPr>
        <w:t xml:space="preserve">  </w:t>
      </w:r>
      <w:r>
        <w:rPr>
          <w:sz w:val="20"/>
        </w:rPr>
        <w:t>Telnet (port 23)</w:t>
      </w:r>
    </w:p>
    <w:p>
      <w:pPr>
        <w:spacing w:before="20" w:after="20"/>
        <w:ind w:left="567"/>
      </w:pPr>
      <w:r>
        <w:rPr>
          <w:sz w:val="20"/>
        </w:rPr>
        <w:t xml:space="preserve">  </w:t>
      </w:r>
      <w:r>
        <w:rPr>
          <w:sz w:val="20"/>
        </w:rPr>
        <w:t>FTP (ports 20, 21) – insecure plain-text variant</w:t>
      </w:r>
    </w:p>
    <w:p>
      <w:pPr>
        <w:spacing w:before="20" w:after="20"/>
        <w:ind w:left="567"/>
      </w:pPr>
      <w:r>
        <w:rPr>
          <w:sz w:val="20"/>
        </w:rPr>
        <w:t xml:space="preserve">  </w:t>
      </w:r>
      <w:r>
        <w:rPr>
          <w:sz w:val="20"/>
        </w:rPr>
        <w:t>HTTP without TLS (port 80) for any application handling sensitive data</w:t>
      </w:r>
    </w:p>
    <w:p>
      <w:pPr>
        <w:spacing w:before="20" w:after="20"/>
        <w:ind w:left="567"/>
      </w:pPr>
      <w:r>
        <w:rPr>
          <w:sz w:val="20"/>
        </w:rPr>
        <w:t xml:space="preserve">  </w:t>
      </w:r>
      <w:r>
        <w:rPr>
          <w:sz w:val="20"/>
        </w:rPr>
        <w:t>SMBv1 (ports 139, 445) for external or interzone communication</w:t>
      </w:r>
    </w:p>
    <w:p>
      <w:pPr>
        <w:spacing w:before="20" w:after="20"/>
        <w:ind w:left="567"/>
      </w:pPr>
      <w:r>
        <w:rPr>
          <w:sz w:val="20"/>
        </w:rPr>
        <w:t xml:space="preserve">  </w:t>
      </w:r>
      <w:r>
        <w:rPr>
          <w:sz w:val="20"/>
        </w:rPr>
        <w:t>TFTP (port 69)</w:t>
      </w:r>
    </w:p>
    <w:p>
      <w:pPr>
        <w:spacing w:before="20" w:after="20"/>
        <w:ind w:left="567"/>
      </w:pPr>
      <w:r>
        <w:rPr>
          <w:sz w:val="20"/>
        </w:rPr>
        <w:t xml:space="preserve">  </w:t>
      </w:r>
      <w:r>
        <w:rPr>
          <w:sz w:val="20"/>
        </w:rPr>
        <w:t>RSH / Rlogin (port 513, 514)</w:t>
      </w:r>
    </w:p>
    <w:p>
      <w:pPr>
        <w:spacing w:before="20" w:after="20"/>
        <w:ind w:left="567"/>
      </w:pPr>
      <w:r>
        <w:rPr>
          <w:sz w:val="20"/>
        </w:rPr>
        <w:t xml:space="preserve">  </w:t>
      </w:r>
      <w:r>
        <w:rPr>
          <w:sz w:val="20"/>
        </w:rPr>
        <w:t>SNMPv1 / v2c across untrusted networks</w:t>
      </w:r>
    </w:p>
    <w:p>
      <w:pPr>
        <w:spacing w:before="160" w:after="60"/>
      </w:pPr>
      <w:r>
        <w:rPr>
          <w:b/>
          <w:color w:val="3A7CA5"/>
          <w:sz w:val="26"/>
        </w:rPr>
        <w:t>4.4 Restrictions on Destination ANY Rules</w:t>
      </w:r>
    </w:p>
    <w:p>
      <w:pPr>
        <w:spacing w:before="20" w:after="20"/>
      </w:pPr>
      <w:r>
        <w:rPr>
          <w:sz w:val="20"/>
        </w:rPr>
        <w:t xml:space="preserve">1. Destination ANY rules shall be </w:t>
      </w:r>
      <w:r>
        <w:rPr>
          <w:b/>
          <w:sz w:val="20"/>
        </w:rPr>
        <w:t>strictly prohibited</w:t>
      </w:r>
      <w:r>
        <w:rPr>
          <w:sz w:val="20"/>
        </w:rPr>
        <w:t xml:space="preserve"> in production environments.</w:t>
      </w:r>
    </w:p>
    <w:p>
      <w:pPr>
        <w:spacing w:before="20" w:after="20"/>
      </w:pPr>
      <w:r>
        <w:rPr>
          <w:sz w:val="20"/>
        </w:rPr>
        <w:t>2. For DMZ-to-external or internet-bound outbound rules, a specific destination IP or network range must be used.</w:t>
      </w:r>
    </w:p>
    <w:p>
      <w:pPr>
        <w:spacing w:before="20" w:after="20"/>
      </w:pPr>
      <w:r>
        <w:rPr>
          <w:sz w:val="20"/>
        </w:rPr>
        <w:t>3. In exceptional cases where a dynamic destination is unavoidable (e.g., cloud provider API endpoints), the rule must be scoped to the cloud provider's published IP ranges, reviewed quarterly, and approved by CISO.</w:t>
      </w:r>
    </w:p>
    <w:p>
      <w:pPr>
        <w:spacing w:before="20" w:after="20"/>
      </w:pPr>
      <w:r>
        <w:rPr>
          <w:sz w:val="20"/>
        </w:rPr>
        <w:t xml:space="preserve">4. Source ANY in inbound rules is </w:t>
      </w:r>
      <w:r>
        <w:rPr>
          <w:b/>
          <w:sz w:val="20"/>
        </w:rPr>
        <w:t>prohibited</w:t>
      </w:r>
      <w:r>
        <w:rPr>
          <w:sz w:val="20"/>
        </w:rPr>
        <w:t xml:space="preserve"> under all circumstances.</w:t>
      </w:r>
    </w:p>
    <w:p>
      <w:pPr>
        <w:spacing w:before="160" w:after="60"/>
      </w:pPr>
      <w:r>
        <w:rPr>
          <w:b/>
          <w:color w:val="3A7CA5"/>
          <w:sz w:val="26"/>
        </w:rPr>
        <w:t>4.5 Rule Review Frequency</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3A5C"/>
          </w:tcPr>
          <w:p>
            <w:pPr>
              <w:spacing w:before="40" w:after="40"/>
            </w:pPr>
            <w:r>
              <w:rPr>
                <w:b/>
                <w:color w:val="FFFFFF"/>
                <w:sz w:val="20"/>
              </w:rPr>
            </w:r>
            <w:r>
              <w:rPr>
                <w:b/>
                <w:color w:val="FFFFFF"/>
                <w:sz w:val="20"/>
              </w:rPr>
              <w:t>**Rule Type**</w:t>
            </w:r>
          </w:p>
        </w:tc>
        <w:tc>
          <w:tcPr>
            <w:tcW w:type="dxa" w:w="3135"/>
            <w:shd w:fill="1B3A5C"/>
          </w:tcPr>
          <w:p>
            <w:pPr>
              <w:spacing w:before="40" w:after="40"/>
            </w:pPr>
            <w:r>
              <w:rPr>
                <w:b/>
                <w:color w:val="FFFFFF"/>
                <w:sz w:val="20"/>
              </w:rPr>
            </w:r>
            <w:r>
              <w:rPr>
                <w:b/>
                <w:color w:val="FFFFFF"/>
                <w:sz w:val="20"/>
              </w:rPr>
              <w:t>**Review Cadence**</w:t>
            </w:r>
          </w:p>
        </w:tc>
        <w:tc>
          <w:tcPr>
            <w:tcW w:type="dxa" w:w="3135"/>
            <w:shd w:fill="1B3A5C"/>
          </w:tcPr>
          <w:p>
            <w:pPr>
              <w:spacing w:before="40" w:after="40"/>
            </w:pPr>
            <w:r>
              <w:rPr>
                <w:b/>
                <w:color w:val="FFFFFF"/>
                <w:sz w:val="20"/>
              </w:rPr>
            </w:r>
            <w:r>
              <w:rPr>
                <w:b/>
                <w:color w:val="FFFFFF"/>
                <w:sz w:val="20"/>
              </w:rPr>
              <w:t>**Review Performed By**</w:t>
            </w:r>
          </w:p>
        </w:tc>
      </w:tr>
      <w:tr>
        <w:tc>
          <w:tcPr>
            <w:tcW w:type="dxa" w:w="3135"/>
          </w:tcPr>
          <w:p>
            <w:pPr>
              <w:spacing w:before="40" w:after="40"/>
            </w:pPr>
            <w:r>
              <w:rPr>
                <w:sz w:val="20"/>
              </w:rPr>
            </w:r>
            <w:r>
              <w:rPr>
                <w:sz w:val="20"/>
              </w:rPr>
              <w:t>Inbound Production Rules</w:t>
            </w:r>
          </w:p>
        </w:tc>
        <w:tc>
          <w:tcPr>
            <w:tcW w:type="dxa" w:w="3135"/>
          </w:tcPr>
          <w:p>
            <w:pPr>
              <w:spacing w:before="40" w:after="40"/>
            </w:pPr>
            <w:r>
              <w:rPr>
                <w:sz w:val="20"/>
              </w:rPr>
            </w:r>
            <w:r>
              <w:rPr>
                <w:sz w:val="20"/>
              </w:rPr>
              <w:t>Monthly</w:t>
            </w:r>
          </w:p>
        </w:tc>
        <w:tc>
          <w:tcPr>
            <w:tcW w:type="dxa" w:w="3135"/>
          </w:tcPr>
          <w:p>
            <w:pPr>
              <w:spacing w:before="40" w:after="40"/>
            </w:pPr>
            <w:r>
              <w:rPr>
                <w:sz w:val="20"/>
              </w:rPr>
            </w:r>
            <w:r>
              <w:rPr>
                <w:sz w:val="20"/>
              </w:rPr>
              <w:t>Network Security Team + Application Owner</w:t>
            </w:r>
          </w:p>
        </w:tc>
      </w:tr>
      <w:tr>
        <w:tc>
          <w:tcPr>
            <w:tcW w:type="dxa" w:w="3135"/>
            <w:shd w:fill="F2F7FB"/>
          </w:tcPr>
          <w:p>
            <w:pPr>
              <w:spacing w:before="40" w:after="40"/>
            </w:pPr>
            <w:r>
              <w:rPr>
                <w:sz w:val="20"/>
              </w:rPr>
            </w:r>
            <w:r>
              <w:rPr>
                <w:sz w:val="20"/>
              </w:rPr>
              <w:t>Outbound Production Rules</w:t>
            </w:r>
          </w:p>
        </w:tc>
        <w:tc>
          <w:tcPr>
            <w:tcW w:type="dxa" w:w="3135"/>
            <w:shd w:fill="F2F7FB"/>
          </w:tcPr>
          <w:p>
            <w:pPr>
              <w:spacing w:before="40" w:after="40"/>
            </w:pPr>
            <w:r>
              <w:rPr>
                <w:sz w:val="20"/>
              </w:rPr>
            </w:r>
            <w:r>
              <w:rPr>
                <w:sz w:val="20"/>
              </w:rPr>
              <w:t>Quarterly</w:t>
            </w:r>
          </w:p>
        </w:tc>
        <w:tc>
          <w:tcPr>
            <w:tcW w:type="dxa" w:w="3135"/>
            <w:shd w:fill="F2F7FB"/>
          </w:tcPr>
          <w:p>
            <w:pPr>
              <w:spacing w:before="40" w:after="40"/>
            </w:pPr>
            <w:r>
              <w:rPr>
                <w:sz w:val="20"/>
              </w:rPr>
            </w:r>
            <w:r>
              <w:rPr>
                <w:sz w:val="20"/>
              </w:rPr>
              <w:t>Network Security Team</w:t>
            </w:r>
          </w:p>
        </w:tc>
      </w:tr>
      <w:tr>
        <w:tc>
          <w:tcPr>
            <w:tcW w:type="dxa" w:w="3135"/>
          </w:tcPr>
          <w:p>
            <w:pPr>
              <w:spacing w:before="40" w:after="40"/>
            </w:pPr>
            <w:r>
              <w:rPr>
                <w:sz w:val="20"/>
              </w:rPr>
            </w:r>
            <w:r>
              <w:rPr>
                <w:sz w:val="20"/>
              </w:rPr>
              <w:t>DMZ Rules</w:t>
            </w:r>
          </w:p>
        </w:tc>
        <w:tc>
          <w:tcPr>
            <w:tcW w:type="dxa" w:w="3135"/>
          </w:tcPr>
          <w:p>
            <w:pPr>
              <w:spacing w:before="40" w:after="40"/>
            </w:pPr>
            <w:r>
              <w:rPr>
                <w:sz w:val="20"/>
              </w:rPr>
            </w:r>
            <w:r>
              <w:rPr>
                <w:sz w:val="20"/>
              </w:rPr>
              <w:t>Monthly</w:t>
            </w:r>
          </w:p>
        </w:tc>
        <w:tc>
          <w:tcPr>
            <w:tcW w:type="dxa" w:w="3135"/>
          </w:tcPr>
          <w:p>
            <w:pPr>
              <w:spacing w:before="40" w:after="40"/>
            </w:pPr>
            <w:r>
              <w:rPr>
                <w:sz w:val="20"/>
              </w:rPr>
            </w:r>
            <w:r>
              <w:rPr>
                <w:sz w:val="20"/>
              </w:rPr>
              <w:t>Network Security Team + System Owner</w:t>
            </w:r>
          </w:p>
        </w:tc>
      </w:tr>
      <w:tr>
        <w:tc>
          <w:tcPr>
            <w:tcW w:type="dxa" w:w="3135"/>
            <w:shd w:fill="F2F7FB"/>
          </w:tcPr>
          <w:p>
            <w:pPr>
              <w:spacing w:before="40" w:after="40"/>
            </w:pPr>
            <w:r>
              <w:rPr>
                <w:sz w:val="20"/>
              </w:rPr>
            </w:r>
            <w:r>
              <w:rPr>
                <w:sz w:val="20"/>
              </w:rPr>
              <w:t>Inter-Zone (Internal) Rules</w:t>
            </w:r>
          </w:p>
        </w:tc>
        <w:tc>
          <w:tcPr>
            <w:tcW w:type="dxa" w:w="3135"/>
            <w:shd w:fill="F2F7FB"/>
          </w:tcPr>
          <w:p>
            <w:pPr>
              <w:spacing w:before="40" w:after="40"/>
            </w:pPr>
            <w:r>
              <w:rPr>
                <w:sz w:val="20"/>
              </w:rPr>
            </w:r>
            <w:r>
              <w:rPr>
                <w:sz w:val="20"/>
              </w:rPr>
              <w:t>Quarterly</w:t>
            </w:r>
          </w:p>
        </w:tc>
        <w:tc>
          <w:tcPr>
            <w:tcW w:type="dxa" w:w="3135"/>
            <w:shd w:fill="F2F7FB"/>
          </w:tcPr>
          <w:p>
            <w:pPr>
              <w:spacing w:before="40" w:after="40"/>
            </w:pPr>
            <w:r>
              <w:rPr>
                <w:sz w:val="20"/>
              </w:rPr>
            </w:r>
            <w:r>
              <w:rPr>
                <w:sz w:val="20"/>
              </w:rPr>
              <w:t>Information Security Group</w:t>
            </w:r>
          </w:p>
        </w:tc>
      </w:tr>
      <w:tr>
        <w:tc>
          <w:tcPr>
            <w:tcW w:type="dxa" w:w="3135"/>
          </w:tcPr>
          <w:p>
            <w:pPr>
              <w:spacing w:before="40" w:after="40"/>
            </w:pPr>
            <w:r>
              <w:rPr>
                <w:sz w:val="20"/>
              </w:rPr>
            </w:r>
            <w:r>
              <w:rPr>
                <w:sz w:val="20"/>
              </w:rPr>
              <w:t>Cloud Security Group Rules</w:t>
            </w:r>
          </w:p>
        </w:tc>
        <w:tc>
          <w:tcPr>
            <w:tcW w:type="dxa" w:w="3135"/>
          </w:tcPr>
          <w:p>
            <w:pPr>
              <w:spacing w:before="40" w:after="40"/>
            </w:pPr>
            <w:r>
              <w:rPr>
                <w:sz w:val="20"/>
              </w:rPr>
            </w:r>
            <w:r>
              <w:rPr>
                <w:sz w:val="20"/>
              </w:rPr>
              <w:t>Monthly</w:t>
            </w:r>
          </w:p>
        </w:tc>
        <w:tc>
          <w:tcPr>
            <w:tcW w:type="dxa" w:w="3135"/>
          </w:tcPr>
          <w:p>
            <w:pPr>
              <w:spacing w:before="40" w:after="40"/>
            </w:pPr>
            <w:r>
              <w:rPr>
                <w:sz w:val="20"/>
              </w:rPr>
            </w:r>
            <w:r>
              <w:rPr>
                <w:sz w:val="20"/>
              </w:rPr>
              <w:t>Cloud Security Engineer</w:t>
            </w:r>
          </w:p>
        </w:tc>
      </w:tr>
      <w:tr>
        <w:tc>
          <w:tcPr>
            <w:tcW w:type="dxa" w:w="3135"/>
            <w:shd w:fill="F2F7FB"/>
          </w:tcPr>
          <w:p>
            <w:pPr>
              <w:spacing w:before="40" w:after="40"/>
            </w:pPr>
            <w:r>
              <w:rPr>
                <w:sz w:val="20"/>
              </w:rPr>
            </w:r>
            <w:r>
              <w:rPr>
                <w:sz w:val="20"/>
              </w:rPr>
              <w:t>Management / Admin Rules</w:t>
            </w:r>
          </w:p>
        </w:tc>
        <w:tc>
          <w:tcPr>
            <w:tcW w:type="dxa" w:w="3135"/>
            <w:shd w:fill="F2F7FB"/>
          </w:tcPr>
          <w:p>
            <w:pPr>
              <w:spacing w:before="40" w:after="40"/>
            </w:pPr>
            <w:r>
              <w:rPr>
                <w:sz w:val="20"/>
              </w:rPr>
            </w:r>
            <w:r>
              <w:rPr>
                <w:sz w:val="20"/>
              </w:rPr>
              <w:t>Quarterly</w:t>
            </w:r>
          </w:p>
        </w:tc>
        <w:tc>
          <w:tcPr>
            <w:tcW w:type="dxa" w:w="3135"/>
            <w:shd w:fill="F2F7FB"/>
          </w:tcPr>
          <w:p>
            <w:pPr>
              <w:spacing w:before="40" w:after="40"/>
            </w:pPr>
            <w:r>
              <w:rPr>
                <w:sz w:val="20"/>
              </w:rPr>
            </w:r>
            <w:r>
              <w:rPr>
                <w:sz w:val="20"/>
              </w:rPr>
              <w:t>Network Operations</w:t>
            </w:r>
          </w:p>
        </w:tc>
      </w:tr>
      <w:tr>
        <w:tc>
          <w:tcPr>
            <w:tcW w:type="dxa" w:w="3135"/>
          </w:tcPr>
          <w:p>
            <w:pPr>
              <w:spacing w:before="40" w:after="40"/>
            </w:pPr>
            <w:r>
              <w:rPr>
                <w:sz w:val="20"/>
              </w:rPr>
            </w:r>
            <w:r>
              <w:rPr>
                <w:sz w:val="20"/>
              </w:rPr>
              <w:t>Rules flagged "Clean-up"</w:t>
            </w:r>
          </w:p>
        </w:tc>
        <w:tc>
          <w:tcPr>
            <w:tcW w:type="dxa" w:w="3135"/>
          </w:tcPr>
          <w:p>
            <w:pPr>
              <w:spacing w:before="40" w:after="40"/>
            </w:pPr>
            <w:r>
              <w:rPr>
                <w:sz w:val="20"/>
              </w:rPr>
            </w:r>
            <w:r>
              <w:rPr>
                <w:sz w:val="20"/>
              </w:rPr>
              <w:t>Every 15 days</w:t>
            </w:r>
          </w:p>
        </w:tc>
        <w:tc>
          <w:tcPr>
            <w:tcW w:type="dxa" w:w="3135"/>
          </w:tcPr>
          <w:p>
            <w:pPr>
              <w:spacing w:before="40" w:after="40"/>
            </w:pPr>
            <w:r>
              <w:rPr>
                <w:sz w:val="20"/>
              </w:rPr>
            </w:r>
            <w:r>
              <w:rPr>
                <w:sz w:val="20"/>
              </w:rPr>
              <w:t>Network Security Team</w:t>
            </w:r>
          </w:p>
        </w:tc>
      </w:tr>
    </w:tbl>
    <w:p/>
    <w:p>
      <w:pPr>
        <w:spacing w:before="160" w:after="60"/>
      </w:pPr>
      <w:r>
        <w:rPr>
          <w:b/>
          <w:color w:val="3A7CA5"/>
          <w:sz w:val="26"/>
        </w:rPr>
        <w:t>4.6 Rule Lifecycle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3A5C"/>
          </w:tcPr>
          <w:p>
            <w:pPr>
              <w:spacing w:before="40" w:after="40"/>
            </w:pPr>
            <w:r>
              <w:rPr>
                <w:b/>
                <w:color w:val="FFFFFF"/>
                <w:sz w:val="20"/>
              </w:rPr>
            </w:r>
            <w:r>
              <w:rPr>
                <w:b/>
                <w:color w:val="FFFFFF"/>
                <w:sz w:val="20"/>
              </w:rPr>
              <w:t>**Phase**</w:t>
            </w:r>
          </w:p>
        </w:tc>
        <w:tc>
          <w:tcPr>
            <w:tcW w:type="dxa" w:w="3135"/>
            <w:shd w:fill="1B3A5C"/>
          </w:tcPr>
          <w:p>
            <w:pPr>
              <w:spacing w:before="40" w:after="40"/>
            </w:pPr>
            <w:r>
              <w:rPr>
                <w:b/>
                <w:color w:val="FFFFFF"/>
                <w:sz w:val="20"/>
              </w:rPr>
            </w:r>
            <w:r>
              <w:rPr>
                <w:b/>
                <w:color w:val="FFFFFF"/>
                <w:sz w:val="20"/>
              </w:rPr>
              <w:t>**Activity**</w:t>
            </w:r>
          </w:p>
        </w:tc>
        <w:tc>
          <w:tcPr>
            <w:tcW w:type="dxa" w:w="3135"/>
            <w:shd w:fill="1B3A5C"/>
          </w:tcPr>
          <w:p>
            <w:pPr>
              <w:spacing w:before="40" w:after="40"/>
            </w:pPr>
            <w:r>
              <w:rPr>
                <w:b/>
                <w:color w:val="FFFFFF"/>
                <w:sz w:val="20"/>
              </w:rPr>
            </w:r>
            <w:r>
              <w:rPr>
                <w:b/>
                <w:color w:val="FFFFFF"/>
                <w:sz w:val="20"/>
              </w:rPr>
              <w:t>**Owner**</w:t>
            </w:r>
          </w:p>
        </w:tc>
      </w:tr>
      <w:tr>
        <w:tc>
          <w:tcPr>
            <w:tcW w:type="dxa" w:w="3135"/>
          </w:tcPr>
          <w:p>
            <w:pPr>
              <w:spacing w:before="40" w:after="40"/>
            </w:pPr>
            <w:r>
              <w:rPr>
                <w:sz w:val="20"/>
              </w:rPr>
            </w:r>
            <w:r>
              <w:rPr>
                <w:sz w:val="20"/>
              </w:rPr>
              <w:t>Request</w:t>
            </w:r>
          </w:p>
        </w:tc>
        <w:tc>
          <w:tcPr>
            <w:tcW w:type="dxa" w:w="3135"/>
          </w:tcPr>
          <w:p>
            <w:pPr>
              <w:spacing w:before="40" w:after="40"/>
            </w:pPr>
            <w:r>
              <w:rPr>
                <w:sz w:val="20"/>
              </w:rPr>
            </w:r>
            <w:r>
              <w:rPr>
                <w:sz w:val="20"/>
              </w:rPr>
              <w:t>Submit rule request via ITSM tool with business justification</w:t>
            </w:r>
          </w:p>
        </w:tc>
        <w:tc>
          <w:tcPr>
            <w:tcW w:type="dxa" w:w="3135"/>
          </w:tcPr>
          <w:p>
            <w:pPr>
              <w:spacing w:before="40" w:after="40"/>
            </w:pPr>
            <w:r>
              <w:rPr>
                <w:sz w:val="20"/>
              </w:rPr>
            </w:r>
            <w:r>
              <w:rPr>
                <w:sz w:val="20"/>
              </w:rPr>
              <w:t>Application Owner</w:t>
            </w:r>
          </w:p>
        </w:tc>
      </w:tr>
      <w:tr>
        <w:tc>
          <w:tcPr>
            <w:tcW w:type="dxa" w:w="3135"/>
            <w:shd w:fill="F2F7FB"/>
          </w:tcPr>
          <w:p>
            <w:pPr>
              <w:spacing w:before="40" w:after="40"/>
            </w:pPr>
            <w:r>
              <w:rPr>
                <w:sz w:val="20"/>
              </w:rPr>
            </w:r>
            <w:r>
              <w:rPr>
                <w:sz w:val="20"/>
              </w:rPr>
              <w:t>Review</w:t>
            </w:r>
          </w:p>
        </w:tc>
        <w:tc>
          <w:tcPr>
            <w:tcW w:type="dxa" w:w="3135"/>
            <w:shd w:fill="F2F7FB"/>
          </w:tcPr>
          <w:p>
            <w:pPr>
              <w:spacing w:before="40" w:after="40"/>
            </w:pPr>
            <w:r>
              <w:rPr>
                <w:sz w:val="20"/>
              </w:rPr>
            </w:r>
            <w:r>
              <w:rPr>
                <w:sz w:val="20"/>
              </w:rPr>
              <w:t>Security review of proposed rule</w:t>
            </w:r>
          </w:p>
        </w:tc>
        <w:tc>
          <w:tcPr>
            <w:tcW w:type="dxa" w:w="3135"/>
            <w:shd w:fill="F2F7FB"/>
          </w:tcPr>
          <w:p>
            <w:pPr>
              <w:spacing w:before="40" w:after="40"/>
            </w:pPr>
            <w:r>
              <w:rPr>
                <w:sz w:val="20"/>
              </w:rPr>
            </w:r>
            <w:r>
              <w:rPr>
                <w:sz w:val="20"/>
              </w:rPr>
              <w:t>InfoSec Analyst</w:t>
            </w:r>
          </w:p>
        </w:tc>
      </w:tr>
      <w:tr>
        <w:tc>
          <w:tcPr>
            <w:tcW w:type="dxa" w:w="3135"/>
          </w:tcPr>
          <w:p>
            <w:pPr>
              <w:spacing w:before="40" w:after="40"/>
            </w:pPr>
            <w:r>
              <w:rPr>
                <w:sz w:val="20"/>
              </w:rPr>
            </w:r>
            <w:r>
              <w:rPr>
                <w:sz w:val="20"/>
              </w:rPr>
              <w:t>Approval</w:t>
            </w:r>
          </w:p>
        </w:tc>
        <w:tc>
          <w:tcPr>
            <w:tcW w:type="dxa" w:w="3135"/>
          </w:tcPr>
          <w:p>
            <w:pPr>
              <w:spacing w:before="40" w:after="40"/>
            </w:pPr>
            <w:r>
              <w:rPr>
                <w:sz w:val="20"/>
              </w:rPr>
            </w:r>
            <w:r>
              <w:rPr>
                <w:sz w:val="20"/>
              </w:rPr>
              <w:t>Approve rule with valid business case</w:t>
            </w:r>
          </w:p>
        </w:tc>
        <w:tc>
          <w:tcPr>
            <w:tcW w:type="dxa" w:w="3135"/>
          </w:tcPr>
          <w:p>
            <w:pPr>
              <w:spacing w:before="40" w:after="40"/>
            </w:pPr>
            <w:r>
              <w:rPr>
                <w:sz w:val="20"/>
              </w:rPr>
            </w:r>
            <w:r>
              <w:rPr>
                <w:sz w:val="20"/>
              </w:rPr>
              <w:t>InfoSec Manager</w:t>
            </w:r>
          </w:p>
        </w:tc>
      </w:tr>
      <w:tr>
        <w:tc>
          <w:tcPr>
            <w:tcW w:type="dxa" w:w="3135"/>
            <w:shd w:fill="F2F7FB"/>
          </w:tcPr>
          <w:p>
            <w:pPr>
              <w:spacing w:before="40" w:after="40"/>
            </w:pPr>
            <w:r>
              <w:rPr>
                <w:sz w:val="20"/>
              </w:rPr>
            </w:r>
            <w:r>
              <w:rPr>
                <w:sz w:val="20"/>
              </w:rPr>
              <w:t>Implementation</w:t>
            </w:r>
          </w:p>
        </w:tc>
        <w:tc>
          <w:tcPr>
            <w:tcW w:type="dxa" w:w="3135"/>
            <w:shd w:fill="F2F7FB"/>
          </w:tcPr>
          <w:p>
            <w:pPr>
              <w:spacing w:before="40" w:after="40"/>
            </w:pPr>
            <w:r>
              <w:rPr>
                <w:sz w:val="20"/>
              </w:rPr>
            </w:r>
            <w:r>
              <w:rPr>
                <w:sz w:val="20"/>
              </w:rPr>
              <w:t>Implement rule during change window</w:t>
            </w:r>
          </w:p>
        </w:tc>
        <w:tc>
          <w:tcPr>
            <w:tcW w:type="dxa" w:w="3135"/>
            <w:shd w:fill="F2F7FB"/>
          </w:tcPr>
          <w:p>
            <w:pPr>
              <w:spacing w:before="40" w:after="40"/>
            </w:pPr>
            <w:r>
              <w:rPr>
                <w:sz w:val="20"/>
              </w:rPr>
            </w:r>
            <w:r>
              <w:rPr>
                <w:sz w:val="20"/>
              </w:rPr>
              <w:t>Network Engineer</w:t>
            </w:r>
          </w:p>
        </w:tc>
      </w:tr>
      <w:tr>
        <w:tc>
          <w:tcPr>
            <w:tcW w:type="dxa" w:w="3135"/>
          </w:tcPr>
          <w:p>
            <w:pPr>
              <w:spacing w:before="40" w:after="40"/>
            </w:pPr>
            <w:r>
              <w:rPr>
                <w:sz w:val="20"/>
              </w:rPr>
            </w:r>
            <w:r>
              <w:rPr>
                <w:sz w:val="20"/>
              </w:rPr>
              <w:t>Verification</w:t>
            </w:r>
          </w:p>
        </w:tc>
        <w:tc>
          <w:tcPr>
            <w:tcW w:type="dxa" w:w="3135"/>
          </w:tcPr>
          <w:p>
            <w:pPr>
              <w:spacing w:before="40" w:after="40"/>
            </w:pPr>
            <w:r>
              <w:rPr>
                <w:sz w:val="20"/>
              </w:rPr>
            </w:r>
            <w:r>
              <w:rPr>
                <w:sz w:val="20"/>
              </w:rPr>
              <w:t>Verify rule working as intended post-implementation</w:t>
            </w:r>
          </w:p>
        </w:tc>
        <w:tc>
          <w:tcPr>
            <w:tcW w:type="dxa" w:w="3135"/>
          </w:tcPr>
          <w:p>
            <w:pPr>
              <w:spacing w:before="40" w:after="40"/>
            </w:pPr>
            <w:r>
              <w:rPr>
                <w:sz w:val="20"/>
              </w:rPr>
            </w:r>
            <w:r>
              <w:rPr>
                <w:sz w:val="20"/>
              </w:rPr>
              <w:t>Application Owner</w:t>
            </w:r>
          </w:p>
        </w:tc>
      </w:tr>
      <w:tr>
        <w:tc>
          <w:tcPr>
            <w:tcW w:type="dxa" w:w="3135"/>
            <w:shd w:fill="F2F7FB"/>
          </w:tcPr>
          <w:p>
            <w:pPr>
              <w:spacing w:before="40" w:after="40"/>
            </w:pPr>
            <w:r>
              <w:rPr>
                <w:sz w:val="20"/>
              </w:rPr>
            </w:r>
            <w:r>
              <w:rPr>
                <w:sz w:val="20"/>
              </w:rPr>
              <w:t>Clean-up / Expiry</w:t>
            </w:r>
          </w:p>
        </w:tc>
        <w:tc>
          <w:tcPr>
            <w:tcW w:type="dxa" w:w="3135"/>
            <w:shd w:fill="F2F7FB"/>
          </w:tcPr>
          <w:p>
            <w:pPr>
              <w:spacing w:before="40" w:after="40"/>
            </w:pPr>
            <w:r>
              <w:rPr>
                <w:sz w:val="20"/>
              </w:rPr>
            </w:r>
            <w:r>
              <w:rPr>
                <w:sz w:val="20"/>
              </w:rPr>
              <w:t>Auto-disable inactive rules after 90 days; remove after 180</w:t>
            </w:r>
          </w:p>
        </w:tc>
        <w:tc>
          <w:tcPr>
            <w:tcW w:type="dxa" w:w="3135"/>
            <w:shd w:fill="F2F7FB"/>
          </w:tcPr>
          <w:p>
            <w:pPr>
              <w:spacing w:before="40" w:after="40"/>
            </w:pPr>
            <w:r>
              <w:rPr>
                <w:sz w:val="20"/>
              </w:rPr>
            </w:r>
            <w:r>
              <w:rPr>
                <w:sz w:val="20"/>
              </w:rPr>
              <w:t>Network Security Team</w:t>
            </w:r>
          </w:p>
        </w:tc>
      </w:tr>
    </w:tbl>
    <w:p/>
    <w:p>
      <w:pPr>
        <w:spacing w:before="200" w:after="80"/>
      </w:pPr>
      <w:r>
        <w:rPr>
          <w:b/>
          <w:color w:val="2C5F8A"/>
          <w:sz w:val="32"/>
        </w:rPr>
        <w:t>5. Rule Clean-up and Orphan Management</w:t>
      </w:r>
    </w:p>
    <w:p>
      <w:pPr>
        <w:spacing w:before="20" w:after="20"/>
      </w:pPr>
      <w:r>
        <w:rPr>
          <w:sz w:val="20"/>
        </w:rPr>
        <w:t>1. Rules not matching any traffic for 90 consecutive days shall be automatically disabled by the firewall management tool.</w:t>
      </w:r>
    </w:p>
    <w:p>
      <w:pPr>
        <w:spacing w:before="20" w:after="20"/>
      </w:pPr>
      <w:r>
        <w:rPr>
          <w:sz w:val="20"/>
        </w:rPr>
        <w:t>2. Disabled rules must be reviewed within 30 days. If no business justification is re-provided, the rule shall be deleted.</w:t>
      </w:r>
    </w:p>
    <w:p>
      <w:pPr>
        <w:spacing w:before="20" w:after="20"/>
      </w:pPr>
      <w:r>
        <w:rPr>
          <w:sz w:val="20"/>
        </w:rPr>
        <w:t>3. A quarterly "rule hit count" report shall be generated and reviewed to identify unused or expired rules.</w:t>
      </w:r>
    </w:p>
    <w:p>
      <w:pPr>
        <w:spacing w:before="20" w:after="20"/>
      </w:pPr>
      <w:r>
        <w:rPr>
          <w:sz w:val="20"/>
        </w:rPr>
        <w:t>4. Rule clean-up metrics shall be reported to the IT Governance Committee every quarter.</w:t>
      </w:r>
    </w:p>
    <w:p>
      <w:pPr>
        <w:spacing w:before="200" w:after="80"/>
      </w:pPr>
      <w:r>
        <w:rPr>
          <w:b/>
          <w:color w:val="2C5F8A"/>
          <w:sz w:val="32"/>
        </w:rPr>
        <w:t>6. Emergency Rule Procedure</w:t>
      </w:r>
    </w:p>
    <w:p>
      <w:pPr>
        <w:spacing w:before="20" w:after="20"/>
      </w:pPr>
      <w:r>
        <w:rPr>
          <w:sz w:val="20"/>
        </w:rPr>
        <w:t>1. Emergency rules (e.g., zero-day incident containment) may be implemented with verbal/post-facto approval from CISO.</w:t>
      </w:r>
    </w:p>
    <w:p>
      <w:pPr>
        <w:spacing w:before="20" w:after="20"/>
      </w:pPr>
      <w:r>
        <w:rPr>
          <w:sz w:val="20"/>
        </w:rPr>
        <w:t>2. Emergency rules shall be automatically flagged for review within 72 hours.</w:t>
      </w:r>
    </w:p>
    <w:p>
      <w:pPr>
        <w:spacing w:before="20" w:after="20"/>
      </w:pPr>
      <w:r>
        <w:rPr>
          <w:sz w:val="20"/>
        </w:rPr>
        <w:t>3. If not converted to a standard rule with full justification within 7 days, the rule shall be removed.</w:t>
      </w:r>
    </w:p>
    <w:p>
      <w:pPr>
        <w:spacing w:before="200" w:after="80"/>
      </w:pPr>
      <w:r>
        <w:rPr>
          <w:b/>
          <w:color w:val="2C5F8A"/>
          <w:sz w:val="32"/>
        </w:rPr>
        <w:t>7. Roles and Responsibilities</w:t>
      </w:r>
    </w:p>
    <w:tbl>
      <w:tblPr>
        <w:tblStyle w:val="TableGrid"/>
        <w:tblW w:type="auto" w:w="0"/>
        <w:jc w:val="center"/>
        <w:tblLook w:firstColumn="1" w:firstRow="1" w:lastColumn="0" w:lastRow="0" w:noHBand="0" w:noVBand="1" w:val="04A0"/>
      </w:tblPr>
      <w:tblGrid>
        <w:gridCol w:w="4703"/>
        <w:gridCol w:w="4703"/>
      </w:tblGrid>
      <w:tr>
        <w:tc>
          <w:tcPr>
            <w:tcW w:type="dxa" w:w="4703"/>
            <w:shd w:fill="1B3A5C"/>
          </w:tcPr>
          <w:p>
            <w:pPr>
              <w:spacing w:before="40" w:after="40"/>
            </w:pPr>
            <w:r>
              <w:rPr>
                <w:b/>
                <w:color w:val="FFFFFF"/>
                <w:sz w:val="20"/>
              </w:rPr>
            </w:r>
            <w:r>
              <w:rPr>
                <w:b/>
                <w:color w:val="FFFFFF"/>
                <w:sz w:val="20"/>
              </w:rPr>
              <w:t>**Role**</w:t>
            </w:r>
          </w:p>
        </w:tc>
        <w:tc>
          <w:tcPr>
            <w:tcW w:type="dxa" w:w="4703"/>
            <w:shd w:fill="1B3A5C"/>
          </w:tcPr>
          <w:p>
            <w:pPr>
              <w:spacing w:before="40" w:after="40"/>
            </w:pPr>
            <w:r>
              <w:rPr>
                <w:b/>
                <w:color w:val="FFFFFF"/>
                <w:sz w:val="20"/>
              </w:rPr>
            </w:r>
            <w:r>
              <w:rPr>
                <w:b/>
                <w:color w:val="FFFFFF"/>
                <w:sz w:val="20"/>
              </w:rPr>
              <w:t>**Responsibility**</w:t>
            </w:r>
          </w:p>
        </w:tc>
      </w:tr>
      <w:tr>
        <w:tc>
          <w:tcPr>
            <w:tcW w:type="dxa" w:w="4703"/>
          </w:tcPr>
          <w:p>
            <w:pPr>
              <w:spacing w:before="40" w:after="40"/>
            </w:pPr>
            <w:r>
              <w:rPr>
                <w:sz w:val="20"/>
              </w:rPr>
            </w:r>
            <w:r>
              <w:rPr>
                <w:sz w:val="20"/>
              </w:rPr>
              <w:t>CISO</w:t>
            </w:r>
          </w:p>
        </w:tc>
        <w:tc>
          <w:tcPr>
            <w:tcW w:type="dxa" w:w="4703"/>
          </w:tcPr>
          <w:p>
            <w:pPr>
              <w:spacing w:before="40" w:after="40"/>
            </w:pPr>
            <w:r>
              <w:rPr>
                <w:sz w:val="20"/>
              </w:rPr>
            </w:r>
            <w:r>
              <w:rPr>
                <w:sz w:val="20"/>
              </w:rPr>
              <w:t>Policy ownership, waiver approval</w:t>
            </w:r>
          </w:p>
        </w:tc>
      </w:tr>
      <w:tr>
        <w:tc>
          <w:tcPr>
            <w:tcW w:type="dxa" w:w="4703"/>
            <w:shd w:fill="F2F7FB"/>
          </w:tcPr>
          <w:p>
            <w:pPr>
              <w:spacing w:before="40" w:after="40"/>
            </w:pPr>
            <w:r>
              <w:rPr>
                <w:sz w:val="20"/>
              </w:rPr>
            </w:r>
            <w:r>
              <w:rPr>
                <w:sz w:val="20"/>
              </w:rPr>
              <w:t>Head – Network Operations</w:t>
            </w:r>
          </w:p>
        </w:tc>
        <w:tc>
          <w:tcPr>
            <w:tcW w:type="dxa" w:w="4703"/>
            <w:shd w:fill="F2F7FB"/>
          </w:tcPr>
          <w:p>
            <w:pPr>
              <w:spacing w:before="40" w:after="40"/>
            </w:pPr>
            <w:r>
              <w:rPr>
                <w:sz w:val="20"/>
              </w:rPr>
            </w:r>
            <w:r>
              <w:rPr>
                <w:sz w:val="20"/>
              </w:rPr>
              <w:t>Operational compliance, rule implementation</w:t>
            </w:r>
          </w:p>
        </w:tc>
      </w:tr>
      <w:tr>
        <w:tc>
          <w:tcPr>
            <w:tcW w:type="dxa" w:w="4703"/>
          </w:tcPr>
          <w:p>
            <w:pPr>
              <w:spacing w:before="40" w:after="40"/>
            </w:pPr>
            <w:r>
              <w:rPr>
                <w:sz w:val="20"/>
              </w:rPr>
            </w:r>
            <w:r>
              <w:rPr>
                <w:sz w:val="20"/>
              </w:rPr>
              <w:t>Information Security Manager</w:t>
            </w:r>
          </w:p>
        </w:tc>
        <w:tc>
          <w:tcPr>
            <w:tcW w:type="dxa" w:w="4703"/>
          </w:tcPr>
          <w:p>
            <w:pPr>
              <w:spacing w:before="40" w:after="40"/>
            </w:pPr>
            <w:r>
              <w:rPr>
                <w:sz w:val="20"/>
              </w:rPr>
            </w:r>
            <w:r>
              <w:rPr>
                <w:sz w:val="20"/>
              </w:rPr>
              <w:t>Rule review coordination, compliance monitoring</w:t>
            </w:r>
          </w:p>
        </w:tc>
      </w:tr>
      <w:tr>
        <w:tc>
          <w:tcPr>
            <w:tcW w:type="dxa" w:w="4703"/>
            <w:shd w:fill="F2F7FB"/>
          </w:tcPr>
          <w:p>
            <w:pPr>
              <w:spacing w:before="40" w:after="40"/>
            </w:pPr>
            <w:r>
              <w:rPr>
                <w:sz w:val="20"/>
              </w:rPr>
            </w:r>
            <w:r>
              <w:rPr>
                <w:sz w:val="20"/>
              </w:rPr>
              <w:t>Application Owner</w:t>
            </w:r>
          </w:p>
        </w:tc>
        <w:tc>
          <w:tcPr>
            <w:tcW w:type="dxa" w:w="4703"/>
            <w:shd w:fill="F2F7FB"/>
          </w:tcPr>
          <w:p>
            <w:pPr>
              <w:spacing w:before="40" w:after="40"/>
            </w:pPr>
            <w:r>
              <w:rPr>
                <w:sz w:val="20"/>
              </w:rPr>
            </w:r>
            <w:r>
              <w:rPr>
                <w:sz w:val="20"/>
              </w:rPr>
              <w:t>Business justification, annual re-certification</w:t>
            </w:r>
          </w:p>
        </w:tc>
      </w:tr>
      <w:tr>
        <w:tc>
          <w:tcPr>
            <w:tcW w:type="dxa" w:w="4703"/>
          </w:tcPr>
          <w:p>
            <w:pPr>
              <w:spacing w:before="40" w:after="40"/>
            </w:pPr>
            <w:r>
              <w:rPr>
                <w:sz w:val="20"/>
              </w:rPr>
            </w:r>
            <w:r>
              <w:rPr>
                <w:sz w:val="20"/>
              </w:rPr>
              <w:t>IT Auditor / Compliance</w:t>
            </w:r>
          </w:p>
        </w:tc>
        <w:tc>
          <w:tcPr>
            <w:tcW w:type="dxa" w:w="4703"/>
          </w:tcPr>
          <w:p>
            <w:pPr>
              <w:spacing w:before="40" w:after="40"/>
            </w:pPr>
            <w:r>
              <w:rPr>
                <w:sz w:val="20"/>
              </w:rPr>
            </w:r>
            <w:r>
              <w:rPr>
                <w:sz w:val="20"/>
              </w:rPr>
              <w:t>Independent audit of rule base</w:t>
            </w:r>
          </w:p>
        </w:tc>
      </w:tr>
      <w:tr>
        <w:tc>
          <w:tcPr>
            <w:tcW w:type="dxa" w:w="4703"/>
            <w:shd w:fill="F2F7FB"/>
          </w:tcPr>
          <w:p>
            <w:pPr>
              <w:spacing w:before="40" w:after="40"/>
            </w:pPr>
            <w:r>
              <w:rPr>
                <w:sz w:val="20"/>
              </w:rPr>
            </w:r>
            <w:r>
              <w:rPr>
                <w:sz w:val="20"/>
              </w:rPr>
              <w:t>SOC Team</w:t>
            </w:r>
          </w:p>
        </w:tc>
        <w:tc>
          <w:tcPr>
            <w:tcW w:type="dxa" w:w="4703"/>
            <w:shd w:fill="F2F7FB"/>
          </w:tcPr>
          <w:p>
            <w:pPr>
              <w:spacing w:before="40" w:after="40"/>
            </w:pPr>
            <w:r>
              <w:rPr>
                <w:sz w:val="20"/>
              </w:rPr>
            </w:r>
            <w:r>
              <w:rPr>
                <w:sz w:val="20"/>
              </w:rPr>
              <w:t>Monitoring rule violations, alerting on policy drift</w:t>
            </w:r>
          </w:p>
        </w:tc>
      </w:tr>
    </w:tbl>
    <w:p/>
    <w:p>
      <w:pPr>
        <w:spacing w:before="200" w:after="80"/>
      </w:pPr>
      <w:r>
        <w:rPr>
          <w:b/>
          <w:color w:val="2C5F8A"/>
          <w:sz w:val="32"/>
        </w:rPr>
        <w:t>8. Non-Compliance and Penalties</w:t>
      </w:r>
    </w:p>
    <w:p>
      <w:pPr>
        <w:spacing w:before="20" w:after="20"/>
      </w:pPr>
      <w:r>
        <w:rPr>
          <w:sz w:val="20"/>
        </w:rPr>
        <w:t>1. Any firewall rule found non-compliant with this policy shall be disabled within 48 hours of discovery.</w:t>
      </w:r>
    </w:p>
    <w:p>
      <w:pPr>
        <w:spacing w:before="20" w:after="20"/>
      </w:pPr>
      <w:r>
        <w:rPr>
          <w:sz w:val="20"/>
        </w:rPr>
        <w:t>2. Non-compliance reported in audit shall be escalated to the IT Governance Committee.</w:t>
      </w:r>
    </w:p>
    <w:p>
      <w:pPr>
        <w:spacing w:before="20" w:after="20"/>
      </w:pPr>
      <w:r>
        <w:rPr>
          <w:sz w:val="20"/>
        </w:rPr>
        <w:t>3. Repeated violations by an individual or department shall result in disciplinary action per BMBL's HR policy.</w:t>
      </w:r>
    </w:p>
    <w:p>
      <w:pPr>
        <w:spacing w:before="200" w:after="80"/>
      </w:pPr>
      <w:r>
        <w:rPr>
          <w:b/>
          <w:color w:val="2C5F8A"/>
          <w:sz w:val="32"/>
        </w:rPr>
        <w:t>9. Policy Review and Versioning</w:t>
      </w:r>
    </w:p>
    <w:p>
      <w:pPr>
        <w:spacing w:before="20" w:after="20"/>
      </w:pPr>
      <w:r>
        <w:rPr>
          <w:sz w:val="20"/>
        </w:rPr>
        <w:t>This policy shall be reviewed annually or upon occurrence of:</w:t>
      </w:r>
    </w:p>
    <w:p>
      <w:pPr>
        <w:spacing w:before="20" w:after="20"/>
        <w:ind w:left="567"/>
      </w:pPr>
      <w:r>
        <w:rPr>
          <w:sz w:val="20"/>
        </w:rPr>
        <w:t xml:space="preserve">  </w:t>
      </w:r>
      <w:r>
        <w:rPr>
          <w:sz w:val="20"/>
        </w:rPr>
        <w:t>A major firewall security incident</w:t>
      </w:r>
    </w:p>
    <w:p>
      <w:pPr>
        <w:spacing w:before="20" w:after="20"/>
        <w:ind w:left="567"/>
      </w:pPr>
      <w:r>
        <w:rPr>
          <w:sz w:val="20"/>
        </w:rPr>
        <w:t xml:space="preserve">  </w:t>
      </w:r>
      <w:r>
        <w:rPr>
          <w:sz w:val="20"/>
        </w:rPr>
        <w:t>Regulatory change from RBI</w:t>
      </w:r>
    </w:p>
    <w:p>
      <w:pPr>
        <w:spacing w:before="20" w:after="20"/>
        <w:ind w:left="567"/>
      </w:pPr>
      <w:r>
        <w:rPr>
          <w:sz w:val="20"/>
        </w:rPr>
        <w:t xml:space="preserve">  </w:t>
      </w:r>
      <w:r>
        <w:rPr>
          <w:sz w:val="20"/>
        </w:rPr>
        <w:t>Significant change in network architecture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3A5C"/>
          </w:tcPr>
          <w:p>
            <w:pPr>
              <w:spacing w:before="40" w:after="40"/>
            </w:pPr>
            <w:r>
              <w:rPr>
                <w:b/>
                <w:color w:val="FFFFFF"/>
                <w:sz w:val="20"/>
              </w:rPr>
            </w:r>
            <w:r>
              <w:rPr>
                <w:b/>
                <w:color w:val="FFFFFF"/>
                <w:sz w:val="20"/>
              </w:rPr>
              <w:t>**Version**</w:t>
            </w:r>
          </w:p>
        </w:tc>
        <w:tc>
          <w:tcPr>
            <w:tcW w:type="dxa" w:w="2351"/>
            <w:shd w:fill="1B3A5C"/>
          </w:tcPr>
          <w:p>
            <w:pPr>
              <w:spacing w:before="40" w:after="40"/>
            </w:pPr>
            <w:r>
              <w:rPr>
                <w:b/>
                <w:color w:val="FFFFFF"/>
                <w:sz w:val="20"/>
              </w:rPr>
            </w:r>
            <w:r>
              <w:rPr>
                <w:b/>
                <w:color w:val="FFFFFF"/>
                <w:sz w:val="20"/>
              </w:rPr>
              <w:t>**Date**</w:t>
            </w:r>
          </w:p>
        </w:tc>
        <w:tc>
          <w:tcPr>
            <w:tcW w:type="dxa" w:w="2351"/>
            <w:shd w:fill="1B3A5C"/>
          </w:tcPr>
          <w:p>
            <w:pPr>
              <w:spacing w:before="40" w:after="40"/>
            </w:pPr>
            <w:r>
              <w:rPr>
                <w:b/>
                <w:color w:val="FFFFFF"/>
                <w:sz w:val="20"/>
              </w:rPr>
            </w:r>
            <w:r>
              <w:rPr>
                <w:b/>
                <w:color w:val="FFFFFF"/>
                <w:sz w:val="20"/>
              </w:rPr>
              <w:t>**Change Description**</w:t>
            </w:r>
          </w:p>
        </w:tc>
        <w:tc>
          <w:tcPr>
            <w:tcW w:type="dxa" w:w="2351"/>
            <w:shd w:fill="1B3A5C"/>
          </w:tcPr>
          <w:p>
            <w:pPr>
              <w:spacing w:before="40" w:after="40"/>
            </w:pPr>
            <w:r>
              <w:rPr>
                <w:b/>
                <w:color w:val="FFFFFF"/>
                <w:sz w:val="20"/>
              </w:rPr>
            </w:r>
            <w:r>
              <w:rPr>
                <w:b/>
                <w:color w:val="FFFFFF"/>
                <w:sz w:val="20"/>
              </w:rPr>
              <w:t>**Author**</w:t>
            </w:r>
          </w:p>
        </w:tc>
      </w:tr>
      <w:tr>
        <w:tc>
          <w:tcPr>
            <w:tcW w:type="dxa" w:w="2351"/>
          </w:tcPr>
          <w:p>
            <w:pPr>
              <w:spacing w:before="40" w:after="40"/>
            </w:pPr>
            <w:r>
              <w:rPr>
                <w:sz w:val="20"/>
              </w:rPr>
            </w:r>
            <w:r>
              <w:rPr>
                <w:sz w:val="20"/>
              </w:rPr>
              <w:t>1.0</w:t>
            </w:r>
          </w:p>
        </w:tc>
        <w:tc>
          <w:tcPr>
            <w:tcW w:type="dxa" w:w="2351"/>
          </w:tcPr>
          <w:p>
            <w:pPr>
              <w:spacing w:before="40" w:after="40"/>
            </w:pPr>
            <w:r>
              <w:rPr>
                <w:sz w:val="20"/>
              </w:rPr>
            </w:r>
            <w:r>
              <w:rPr>
                <w:sz w:val="20"/>
              </w:rPr>
              <w:t>01-Apr-2026</w:t>
            </w:r>
          </w:p>
        </w:tc>
        <w:tc>
          <w:tcPr>
            <w:tcW w:type="dxa" w:w="2351"/>
          </w:tcPr>
          <w:p>
            <w:pPr>
              <w:spacing w:before="40" w:after="40"/>
            </w:pPr>
            <w:r>
              <w:rPr>
                <w:sz w:val="20"/>
              </w:rPr>
            </w:r>
            <w:r>
              <w:rPr>
                <w:sz w:val="20"/>
              </w:rPr>
              <w:t>Initial Release</w:t>
            </w:r>
          </w:p>
        </w:tc>
        <w:tc>
          <w:tcPr>
            <w:tcW w:type="dxa" w:w="2351"/>
          </w:tcPr>
          <w:p>
            <w:pPr>
              <w:spacing w:before="40" w:after="40"/>
            </w:pPr>
            <w:r>
              <w:rPr>
                <w:sz w:val="20"/>
              </w:rPr>
            </w:r>
            <w:r>
              <w:rPr>
                <w:sz w:val="20"/>
              </w:rPr>
              <w:t>CISO – BMBL</w:t>
            </w:r>
          </w:p>
        </w:tc>
      </w:tr>
    </w:tbl>
    <w:p/>
    <w:p>
      <w:pPr>
        <w:spacing w:before="200" w:after="80"/>
      </w:pPr>
      <w:r>
        <w:rPr>
          <w:b/>
          <w:color w:val="2C5F8A"/>
          <w:sz w:val="32"/>
        </w:rPr>
        <w:t>10. Related Documents</w:t>
      </w:r>
    </w:p>
    <w:tbl>
      <w:tblPr>
        <w:tblStyle w:val="TableGrid"/>
        <w:tblW w:type="auto" w:w="0"/>
        <w:jc w:val="center"/>
        <w:tblLook w:firstColumn="1" w:firstRow="1" w:lastColumn="0" w:lastRow="0" w:noHBand="0" w:noVBand="1" w:val="04A0"/>
      </w:tblPr>
      <w:tblGrid>
        <w:gridCol w:w="4703"/>
        <w:gridCol w:w="4703"/>
      </w:tblGrid>
      <w:tr>
        <w:tc>
          <w:tcPr>
            <w:tcW w:type="dxa" w:w="4703"/>
            <w:shd w:fill="1B3A5C"/>
          </w:tcPr>
          <w:p>
            <w:pPr>
              <w:spacing w:before="40" w:after="40"/>
            </w:pPr>
            <w:r>
              <w:rPr>
                <w:b/>
                <w:color w:val="FFFFFF"/>
                <w:sz w:val="20"/>
              </w:rPr>
            </w:r>
            <w:r>
              <w:rPr>
                <w:b/>
                <w:color w:val="FFFFFF"/>
                <w:sz w:val="20"/>
              </w:rPr>
              <w:t>**Document Ref**</w:t>
            </w:r>
          </w:p>
        </w:tc>
        <w:tc>
          <w:tcPr>
            <w:tcW w:type="dxa" w:w="4703"/>
            <w:shd w:fill="1B3A5C"/>
          </w:tcPr>
          <w:p>
            <w:pPr>
              <w:spacing w:before="40" w:after="40"/>
            </w:pPr>
            <w:r>
              <w:rPr>
                <w:b/>
                <w:color w:val="FFFFFF"/>
                <w:sz w:val="20"/>
              </w:rPr>
            </w:r>
            <w:r>
              <w:rPr>
                <w:b/>
                <w:color w:val="FFFFFF"/>
                <w:sz w:val="20"/>
              </w:rPr>
              <w:t>**Title**</w:t>
            </w:r>
          </w:p>
        </w:tc>
      </w:tr>
      <w:tr>
        <w:tc>
          <w:tcPr>
            <w:tcW w:type="dxa" w:w="4703"/>
          </w:tcPr>
          <w:p>
            <w:pPr>
              <w:spacing w:before="40" w:after="40"/>
            </w:pPr>
            <w:r>
              <w:rPr>
                <w:sz w:val="20"/>
              </w:rPr>
            </w:r>
            <w:r>
              <w:rPr>
                <w:sz w:val="20"/>
              </w:rPr>
              <w:t>DI-04-02</w:t>
            </w:r>
          </w:p>
        </w:tc>
        <w:tc>
          <w:tcPr>
            <w:tcW w:type="dxa" w:w="4703"/>
          </w:tcPr>
          <w:p>
            <w:pPr>
              <w:spacing w:before="40" w:after="40"/>
            </w:pPr>
            <w:r>
              <w:rPr>
                <w:sz w:val="20"/>
              </w:rPr>
            </w:r>
            <w:r>
              <w:rPr>
                <w:sz w:val="20"/>
              </w:rPr>
              <w:t>Sample Firewall Rule Review Register</w:t>
            </w:r>
          </w:p>
        </w:tc>
      </w:tr>
      <w:tr>
        <w:tc>
          <w:tcPr>
            <w:tcW w:type="dxa" w:w="4703"/>
            <w:shd w:fill="F2F7FB"/>
          </w:tcPr>
          <w:p>
            <w:pPr>
              <w:spacing w:before="40" w:after="40"/>
            </w:pPr>
            <w:r>
              <w:rPr>
                <w:sz w:val="20"/>
              </w:rPr>
            </w:r>
            <w:r>
              <w:rPr>
                <w:sz w:val="20"/>
              </w:rPr>
              <w:t>DI-04-03</w:t>
            </w:r>
          </w:p>
        </w:tc>
        <w:tc>
          <w:tcPr>
            <w:tcW w:type="dxa" w:w="4703"/>
            <w:shd w:fill="F2F7FB"/>
          </w:tcPr>
          <w:p>
            <w:pPr>
              <w:spacing w:before="40" w:after="40"/>
            </w:pPr>
            <w:r>
              <w:rPr>
                <w:sz w:val="20"/>
              </w:rPr>
            </w:r>
            <w:r>
              <w:rPr>
                <w:sz w:val="20"/>
              </w:rPr>
              <w:t>Firewall Firmware Upgrade Policy</w:t>
            </w:r>
          </w:p>
        </w:tc>
      </w:tr>
      <w:tr>
        <w:tc>
          <w:tcPr>
            <w:tcW w:type="dxa" w:w="4703"/>
          </w:tcPr>
          <w:p>
            <w:pPr>
              <w:spacing w:before="40" w:after="40"/>
            </w:pPr>
            <w:r>
              <w:rPr>
                <w:sz w:val="20"/>
              </w:rPr>
            </w:r>
            <w:r>
              <w:rPr>
                <w:sz w:val="20"/>
              </w:rPr>
              <w:t>DI-04-04</w:t>
            </w:r>
          </w:p>
        </w:tc>
        <w:tc>
          <w:tcPr>
            <w:tcW w:type="dxa" w:w="4703"/>
          </w:tcPr>
          <w:p>
            <w:pPr>
              <w:spacing w:before="40" w:after="40"/>
            </w:pPr>
            <w:r>
              <w:rPr>
                <w:sz w:val="20"/>
              </w:rPr>
            </w:r>
            <w:r>
              <w:rPr>
                <w:sz w:val="20"/>
              </w:rPr>
              <w:t>Business Justification Template</w:t>
            </w:r>
          </w:p>
        </w:tc>
      </w:tr>
      <w:tr>
        <w:tc>
          <w:tcPr>
            <w:tcW w:type="dxa" w:w="4703"/>
            <w:shd w:fill="F2F7FB"/>
          </w:tcPr>
          <w:p>
            <w:pPr>
              <w:spacing w:before="40" w:after="40"/>
            </w:pPr>
            <w:r>
              <w:rPr>
                <w:sz w:val="20"/>
              </w:rPr>
            </w:r>
            <w:r>
              <w:rPr>
                <w:sz w:val="20"/>
              </w:rPr>
              <w:t>DI-04-05</w:t>
            </w:r>
          </w:p>
        </w:tc>
        <w:tc>
          <w:tcPr>
            <w:tcW w:type="dxa" w:w="4703"/>
            <w:shd w:fill="F2F7FB"/>
          </w:tcPr>
          <w:p>
            <w:pPr>
              <w:spacing w:before="40" w:after="40"/>
            </w:pPr>
            <w:r>
              <w:rPr>
                <w:sz w:val="20"/>
              </w:rPr>
            </w:r>
            <w:r>
              <w:rPr>
                <w:sz w:val="20"/>
              </w:rPr>
              <w:t>Firewall Change Request Workflow</w:t>
            </w:r>
          </w:p>
        </w:tc>
      </w:tr>
      <w:tr>
        <w:tc>
          <w:tcPr>
            <w:tcW w:type="dxa" w:w="4703"/>
          </w:tcPr>
          <w:p>
            <w:pPr>
              <w:spacing w:before="40" w:after="40"/>
            </w:pPr>
            <w:r>
              <w:rPr>
                <w:sz w:val="20"/>
              </w:rPr>
            </w:r>
            <w:r>
              <w:rPr>
                <w:sz w:val="20"/>
              </w:rPr>
              <w:t>INFOSEC-POL-07</w:t>
            </w:r>
          </w:p>
        </w:tc>
        <w:tc>
          <w:tcPr>
            <w:tcW w:type="dxa" w:w="4703"/>
          </w:tcPr>
          <w:p>
            <w:pPr>
              <w:spacing w:before="40" w:after="40"/>
            </w:pPr>
            <w:r>
              <w:rPr>
                <w:sz w:val="20"/>
              </w:rPr>
            </w:r>
            <w:r>
              <w:rPr>
                <w:sz w:val="20"/>
              </w:rPr>
              <w:t>Network Security Policy</w:t>
            </w:r>
          </w:p>
        </w:tc>
      </w:tr>
      <w:tr>
        <w:tc>
          <w:tcPr>
            <w:tcW w:type="dxa" w:w="4703"/>
            <w:shd w:fill="F2F7FB"/>
          </w:tcPr>
          <w:p>
            <w:pPr>
              <w:spacing w:before="40" w:after="40"/>
            </w:pPr>
            <w:r>
              <w:rPr>
                <w:sz w:val="20"/>
              </w:rPr>
            </w:r>
            <w:r>
              <w:rPr>
                <w:sz w:val="20"/>
              </w:rPr>
              <w:t>INFOSEC-POL-12</w:t>
            </w:r>
          </w:p>
        </w:tc>
        <w:tc>
          <w:tcPr>
            <w:tcW w:type="dxa" w:w="4703"/>
            <w:shd w:fill="F2F7FB"/>
          </w:tcPr>
          <w:p>
            <w:pPr>
              <w:spacing w:before="40" w:after="40"/>
            </w:pPr>
            <w:r>
              <w:rPr>
                <w:sz w:val="20"/>
              </w:rPr>
            </w:r>
            <w:r>
              <w:rPr>
                <w:sz w:val="20"/>
              </w:rPr>
              <w:t>Vulnerability Management Policy</w:t>
            </w:r>
          </w:p>
        </w:tc>
      </w:tr>
    </w:tbl>
    <w:p/>
    <w:p>
      <w:pPr>
        <w:spacing w:before="20" w:after="20"/>
      </w:pPr>
      <w:r>
        <w:rPr>
          <w:sz w:val="20"/>
        </w:rPr>
        <w:t>*End of Document*</w:t>
      </w:r>
    </w:p>
    <w:p>
      <w:pPr>
        <w:spacing w:before="120" w:after="40"/>
      </w:pPr>
      <w:r>
        <w:rPr>
          <w:b/>
          <w:color w:val="4A90B0"/>
          <w:sz w:val="22"/>
        </w:rPr>
        <w:t>Bharat Mercantile Bank Limited</w:t>
      </w:r>
    </w:p>
    <w:p>
      <w:pPr>
        <w:spacing w:before="20" w:after="20"/>
      </w:pPr>
      <w:r>
        <w:rPr>
          <w:sz w:val="20"/>
        </w:rPr>
        <w:t>*Information Security Group*</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