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**Field**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**Details**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Firewall Firmware Upgrade Policy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DI-04-03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31-Mar-2027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Owner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Security Group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– 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Bank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Bharat Mercantile Bank Limited</w:t>
            </w:r>
          </w:p>
        </w:tc>
      </w:tr>
    </w:tbl>
    <w:p/>
    <w:p>
      <w:pPr>
        <w:spacing w:before="240" w:after="120"/>
        <w:jc w:val="center"/>
      </w:pPr>
      <w:r>
        <w:rPr>
          <w:b/>
          <w:color w:val="1B3A5C"/>
          <w:sz w:val="40"/>
        </w:rPr>
        <w:t>Approval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**Version**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**Approved By**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**Remarks**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12-Mar-2026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Rajesh Mehta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Draft for Review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0.2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22-Mar-2026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Arun Kumar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– Network Operations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Review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29-Mar-2026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Rajesh Mehta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Final – Approved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IT Committee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Chairman – IT Committee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Approved for Implementation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>The purpose of this Firewall Firmware Upgrade Policy is to establish a structured framework for firmware version management on all firewall appliances across Bharat Mercantile Bank Limited (BMBL). This policy addresses Obs 8 (Network Security 3.4.2) identified during the internal audit, which highlighted perimeter firewalls operating on outdated firmware versions (n-3). The policy ensures that all firewall firmware is maintained within the vendor-supported baseline and that upgrades are performed in a timely, risk-assessed manner.</w:t>
      </w:r>
    </w:p>
    <w:p>
      <w:pPr>
        <w:spacing w:before="200" w:after="80"/>
      </w:pPr>
      <w:r>
        <w:rPr>
          <w:b/>
          <w:color w:val="2C5F8A"/>
          <w:sz w:val="32"/>
        </w:rPr>
        <w:t>2. Scope</w:t>
      </w:r>
    </w:p>
    <w:p>
      <w:pPr>
        <w:spacing w:before="20" w:after="20"/>
      </w:pPr>
      <w:r>
        <w:rPr>
          <w:sz w:val="20"/>
        </w:rPr>
        <w:t>This policy applies to: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perimeter firewalls (next-generation firewalls, stateful inspection firewalls, and cloud-based firewall instances)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internal segmentation firewalls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firewall management appliances and centralised management platforms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data centers, DR sites, branch offices, and cloud environments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firmware components including operating system, signature databases, and threat prevention engines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**Regulation / Standard**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**Applicable Clause**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Resilience Framework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Section 3.4 – Network Security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 Guidelines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Clause 3.4.2 – Firewall Firmware Management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ISO/IEC 27001:2022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Annex A 8.8 – Management of Technical Vulnerabilities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NIST SP 800-41 Rev 1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Section 5.2 – Firewall Maintenance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CERT-In Guidelines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 Management and Patch Cycle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Firmware Version Compliance Standards</w:t>
      </w:r>
    </w:p>
    <w:p>
      <w:pPr>
        <w:spacing w:before="160" w:after="60"/>
      </w:pPr>
      <w:r>
        <w:rPr>
          <w:b/>
          <w:color w:val="3A7CA5"/>
          <w:sz w:val="26"/>
        </w:rPr>
        <w:t>4.1 Version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**Classification**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**Definition**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**Compliance Requirement**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 (Current)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Latest generally available (GA) firmware release from vendor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Target state for all production firewalls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n-1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One major/minor version behind current GA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Acceptable – allowed with documented risk acceptance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n-2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Two major/minor versions behind current GA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Allowed conditionally – must be on approved exception list with remediation plan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n-3 or older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Three or more versions behind current GA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NON-COMPLIANT</w:t>
            </w:r>
            <w:r>
              <w:rPr>
                <w:sz w:val="20"/>
              </w:rPr>
              <w:t xml:space="preserve"> – immediate upgrade required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End-of-Life (EOL)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Firmware version no longer supported by vendor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NON-COMPLIANT</w:t>
            </w:r>
            <w:r>
              <w:rPr>
                <w:sz w:val="20"/>
              </w:rPr>
              <w:t xml:space="preserve"> – immediate replacement of hardware or upgrade required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4.2 Compliance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**Environment**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**Target Version**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**Maximum Allowed Lag**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**Review Frequency**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Production DC 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 / n-1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Production DC 2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 / n-1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n-1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DR Site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 / n-1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UAT / Staging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Branch Office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n-1 / n-2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n-2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Cloud (IaaS/PaaS)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n-1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Firmware Upgrade Lifecycle</w:t>
      </w:r>
    </w:p>
    <w:p>
      <w:pPr>
        <w:spacing w:before="160" w:after="60"/>
      </w:pPr>
      <w:r>
        <w:rPr>
          <w:b/>
          <w:color w:val="3A7CA5"/>
          <w:sz w:val="26"/>
        </w:rPr>
        <w:t>5.1 Upgrade Cycle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**Stage**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**Timeline**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**Owner**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Release Notification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Within 48 hours of vendor advisory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Operations Lead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Impact Assessment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Within 5 business days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Security Group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Lab / Staging Testing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Within 10 business days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Engineering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Request Creation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Before upgrade window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Operations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Pilot Deployment (non-critical)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Within 15 business days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Engineering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Production Rollout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Within 30 business days of GA release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Operations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Post-Upgrade Verification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Within 24 hours of upgrade completion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Engineering + App Owner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Update Asset Register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Within 48 hours of upgrade completion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Management Team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5.2 Emergency / Critical Patches</w:t>
      </w:r>
    </w:p>
    <w:p>
      <w:pPr>
        <w:spacing w:before="20" w:after="20"/>
      </w:pPr>
      <w:r>
        <w:rPr>
          <w:sz w:val="20"/>
        </w:rPr>
        <w:t>1. For critical-severity CVEs affecting firewall firmware, the timeline above shall be compressed: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Assessment: within 24 hours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Testing: within 48 hours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Production deployment: within 72 hours (or as directed by CERT-In / RBI advisory)</w:t>
      </w:r>
    </w:p>
    <w:p>
      <w:pPr>
        <w:spacing w:before="20" w:after="20"/>
      </w:pPr>
      <w:r>
        <w:rPr>
          <w:sz w:val="20"/>
        </w:rPr>
        <w:t>2. Zero-day patches shall follow the Incident Response Procedure (IRP).</w:t>
      </w:r>
    </w:p>
    <w:p>
      <w:pPr>
        <w:spacing w:before="200" w:after="80"/>
      </w:pPr>
      <w:r>
        <w:rPr>
          <w:b/>
          <w:color w:val="2C5F8A"/>
          <w:sz w:val="32"/>
        </w:rPr>
        <w:t>6. Remediation Plan for Aged Firewalls (n-3 / EOL)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**Firewall Device**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**Model**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**Current Firmware**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**Target Firmware**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**Target Date**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**Owner**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**Status**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PRD-FW-01 (Perimeter DC1)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Fortinet FortiGate 600F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FortiOS 6.4 (n-3)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FortiOS 7.6 (n)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15-Jul-2026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Arun Kumar (NetOps)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Scheduled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PRD-FW-02 (Perimeter DC2)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Fortinet FortiGate 600F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FortiOS 6.4 (n-3)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FortiOS 7.6 (n)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15-Jul-2026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Arun Kumar (NetOps)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Scheduled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DR-FW-01 (DR Site)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Fortinet FortiGate 400F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FortiOS 7.0 (n-2)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FortiOS 7.6 (n)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31-Aug-2026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Arun Kumar (NetOps)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Plan Under Review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BR-FW-05 (Mumbai HO)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Palo Alto PA-5250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PAN-OS 10.2 (n-2)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PAN-OS 11.2 (n)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31-Jul-2026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Smita Patel (NetOps)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Scheduled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Exception and Risk Acceptance Process</w:t>
      </w:r>
    </w:p>
    <w:p>
      <w:pPr>
        <w:spacing w:before="20" w:after="20"/>
      </w:pPr>
      <w:r>
        <w:rPr>
          <w:sz w:val="20"/>
        </w:rPr>
        <w:t>1. If a firewall cannot be upgraded to n-1 due to hardware limitations, application compatibility, or operational constraints, a formal exception must be filed.</w:t>
      </w:r>
    </w:p>
    <w:p>
      <w:pPr>
        <w:spacing w:before="20" w:after="20"/>
      </w:pPr>
      <w:r>
        <w:rPr>
          <w:sz w:val="20"/>
        </w:rPr>
        <w:t>2. The exception request must include: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Reason upgrade is not feasible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Compensatory controls in place (e.g., virtual patching, IDS/IPS, micro-segmentation)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Planned remediation date (not exceeding 6 months)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Risk acceptance signed by CISO</w:t>
      </w:r>
    </w:p>
    <w:p>
      <w:pPr>
        <w:spacing w:before="20" w:after="20"/>
      </w:pPr>
      <w:r>
        <w:rPr>
          <w:sz w:val="20"/>
        </w:rPr>
        <w:t>3. Exceptions are valid for a maximum of 6 months and must be re-approved thereafter.</w:t>
      </w:r>
    </w:p>
    <w:p>
      <w:pPr>
        <w:spacing w:before="20" w:after="20"/>
      </w:pPr>
      <w:r>
        <w:rPr>
          <w:sz w:val="20"/>
        </w:rPr>
        <w:t>4. All exceptions shall be tracked in the Firewall Firmware Exception Register.</w:t>
      </w:r>
    </w:p>
    <w:p>
      <w:pPr>
        <w:spacing w:before="200" w:after="80"/>
      </w:pPr>
      <w:r>
        <w:rPr>
          <w:b/>
          <w:color w:val="2C5F8A"/>
          <w:sz w:val="32"/>
        </w:rPr>
        <w:t>8. Monitoring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**Report**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**Frequency**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**Audience**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Firmware Compliance Dashboard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Operations + ISG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Aged Firmware Report (n-2 and older)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CISO, Head – Infrastructure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Exception Register Review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Committee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 Compliance Summary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IT Committee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EOL / EOS Alerts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Real-time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Operations Lead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**Responsibility**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ownership, exception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– Network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Firmware upgrade execution, operational compliance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Security Manager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 assessment, compliance monitoring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Engineer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Firmware testing, lab validation, deployment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Manager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record management, CAB coordination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Manager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Firmware version tracking in CMDB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Auditor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audit of firmware versions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10. Non-Compliance</w:t>
      </w:r>
    </w:p>
    <w:p>
      <w:pPr>
        <w:spacing w:before="20" w:after="20"/>
      </w:pPr>
      <w:r>
        <w:rPr>
          <w:sz w:val="20"/>
        </w:rPr>
        <w:t>1. Any firewall found on n-3 or older firmware shall be flagged as a critical finding.</w:t>
      </w:r>
    </w:p>
    <w:p>
      <w:pPr>
        <w:spacing w:before="20" w:after="20"/>
      </w:pPr>
      <w:r>
        <w:rPr>
          <w:sz w:val="20"/>
        </w:rPr>
        <w:t>2. Devices that remain non-compliant beyond the remediation SLA shall be escalated to the IT Governance Committee.</w:t>
      </w:r>
    </w:p>
    <w:p>
      <w:pPr>
        <w:spacing w:before="20" w:after="20"/>
      </w:pPr>
      <w:r>
        <w:rPr>
          <w:sz w:val="20"/>
        </w:rPr>
        <w:t>3. If a device is on EOL/EOS firmware and cannot be upgraded, a hardware replacement project must be initiated within 30 days.</w:t>
      </w:r>
    </w:p>
    <w:p>
      <w:pPr>
        <w:spacing w:before="200" w:after="80"/>
      </w:pPr>
      <w:r>
        <w:rPr>
          <w:b/>
          <w:color w:val="2C5F8A"/>
          <w:sz w:val="32"/>
        </w:rPr>
        <w:t>11. Policy Review</w:t>
      </w:r>
    </w:p>
    <w:p>
      <w:pPr>
        <w:spacing w:before="20" w:after="20"/>
      </w:pPr>
      <w:r>
        <w:rPr>
          <w:sz w:val="20"/>
        </w:rPr>
        <w:t>This policy shall be reviewed annually or upon: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Major security incident involving firewall exploitation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Regulatory mandate from RBI / CERT-In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Significant change in the bank's network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**Version**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**Change Description**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**Author**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 – BMBL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12. 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**Document Ref**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**Title**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DI-04-01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Firewall Management Policy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DI-04-02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Sample Firewall Rule Review Register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INFOSEC-POL-07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Security Policy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INFOSEC-POL-12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 Management Policy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ITIL-CHG-001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Management Procedure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ITIL-CFG-001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Configuration Management Policy</w:t>
            </w:r>
          </w:p>
        </w:tc>
      </w:tr>
    </w:tbl>
    <w:p/>
    <w:p>
      <w:pPr>
        <w:spacing w:before="20" w:after="20"/>
      </w:pPr>
      <w:r>
        <w:rPr>
          <w:sz w:val="20"/>
        </w:rPr>
        <w:t>*End of Document*</w:t>
      </w:r>
    </w:p>
    <w:p>
      <w:pPr>
        <w:spacing w:before="120" w:after="40"/>
      </w:pPr>
      <w:r>
        <w:rPr>
          <w:b/>
          <w:color w:val="4A90B0"/>
          <w:sz w:val="22"/>
        </w:rPr>
        <w:t>Bharat Mercantile Bank Limited</w:t>
      </w:r>
    </w:p>
    <w:p>
      <w:pPr>
        <w:spacing w:before="20" w:after="20"/>
      </w:pPr>
      <w:r>
        <w:rPr>
          <w:sz w:val="20"/>
        </w:rPr>
        <w:t>*Information Security Group*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