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1B3A5C"/>
          <w:sz w:val="40"/>
        </w:rPr>
        <w:t>Bharat Mercantile Bank Limited</w:t>
      </w:r>
    </w:p>
    <w:p>
      <w:pPr>
        <w:spacing w:before="200" w:after="80"/>
      </w:pPr>
      <w:r>
        <w:rPr>
          <w:b/>
          <w:color w:val="2C5F8A"/>
          <w:sz w:val="32"/>
        </w:rPr>
        <w:t>PII Data Protection Policy</w:t>
      </w:r>
    </w:p>
    <w:p>
      <w:pPr>
        <w:spacing w:before="160" w:after="60"/>
      </w:pPr>
      <w:r>
        <w:rPr>
          <w:b/>
          <w:color w:val="3A7CA5"/>
          <w:sz w:val="26"/>
        </w:rPr>
        <w:t>Document Reference: DI-06-03 | Version: 2.1 | Effective Date: 01-Apr-2026</w:t>
      </w:r>
    </w:p>
    <w:p>
      <w:pPr>
        <w:spacing w:before="200" w:after="80"/>
      </w:pPr>
      <w:r>
        <w:rPr>
          <w:b/>
          <w:color w:val="2C5F8A"/>
          <w:sz w:val="32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**Item**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**Details**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Document Owner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Data Protection Officer (CDPO)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 – Internal Use Only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 Cycle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Half-yearly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Next Review Date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30-Sep-2026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Applicable Standards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DPDP Guidelines 2023, IT Act 2000, ISO 27701:2019, PCI DSS v4.0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The purpose of this policy is to establish a comprehensive framework for the identification, classification, handling, storage, transmission, masking, and disposal of Personally Identifiable Information (PII) across all systems, applications, databases, and processes at </w:t>
      </w:r>
      <w:r>
        <w:rPr>
          <w:b/>
          <w:sz w:val="20"/>
        </w:rPr>
        <w:t>Bharat Mercantile Bank Limited</w:t>
      </w:r>
      <w:r>
        <w:rPr>
          <w:sz w:val="20"/>
        </w:rPr>
        <w:t xml:space="preserve"> (BMBL). This policy ensures that customer PII is protected from unauthorized access, disclosure, or misuse at all times, in compliance with applicable regulatory requirements.</w:t>
      </w:r>
    </w:p>
    <w:p>
      <w:pPr>
        <w:spacing w:before="200" w:after="80"/>
      </w:pPr>
      <w:r>
        <w:rPr>
          <w:b/>
          <w:color w:val="2C5F8A"/>
          <w:sz w:val="32"/>
        </w:rPr>
        <w:t>2. Scope</w:t>
      </w:r>
    </w:p>
    <w:p>
      <w:pPr>
        <w:spacing w:before="20" w:after="20"/>
      </w:pPr>
      <w:r>
        <w:rPr>
          <w:sz w:val="20"/>
        </w:rPr>
        <w:t>This policy applies to:</w:t>
      </w:r>
    </w:p>
    <w:p>
      <w:pPr>
        <w:spacing w:before="20" w:after="20"/>
      </w:pPr>
      <w:r>
        <w:rPr>
          <w:sz w:val="20"/>
        </w:rPr>
        <w:t>1.  All banking applications including Internet Banking, Mobile Banking (Android and iOS), Corporate Banking, and Core Banking Systems (CBS)</w:t>
      </w:r>
    </w:p>
    <w:p>
      <w:pPr>
        <w:spacing w:before="20" w:after="20"/>
      </w:pPr>
      <w:r>
        <w:rPr>
          <w:sz w:val="20"/>
        </w:rPr>
        <w:t>2.  All databases (production, UAT, staging, development, test, and backup) containing PII</w:t>
      </w:r>
    </w:p>
    <w:p>
      <w:pPr>
        <w:spacing w:before="20" w:after="20"/>
      </w:pPr>
      <w:r>
        <w:rPr>
          <w:sz w:val="20"/>
        </w:rPr>
        <w:t>3.  All data processing activities including collection, storage, retrieval, transmission, display, printing, and disposal</w:t>
      </w:r>
    </w:p>
    <w:p>
      <w:pPr>
        <w:spacing w:before="20" w:after="20"/>
      </w:pPr>
      <w:r>
        <w:rPr>
          <w:sz w:val="20"/>
        </w:rPr>
        <w:t>4.  All employees, contractors, vendors, service providers, and third parties handling PII on behalf of BMBL</w:t>
      </w:r>
    </w:p>
    <w:p>
      <w:pPr>
        <w:spacing w:before="20" w:after="20"/>
      </w:pPr>
      <w:r>
        <w:rPr>
          <w:sz w:val="20"/>
        </w:rPr>
        <w:t>5.  All channels including web, mobile, API, batch, ATM, call center, and branch systems</w:t>
      </w:r>
    </w:p>
    <w:p>
      <w:pPr>
        <w:spacing w:before="20" w:after="20"/>
      </w:pPr>
      <w:r>
        <w:rPr>
          <w:sz w:val="20"/>
        </w:rPr>
        <w:t>6.  All data formats including structured databases, log files, reports, extracts, CSV exports, and screen displays</w:t>
      </w:r>
    </w:p>
    <w:p>
      <w:pPr>
        <w:spacing w:before="200" w:after="80"/>
      </w:pPr>
      <w:r>
        <w:rPr>
          <w:b/>
          <w:color w:val="2C5F8A"/>
          <w:sz w:val="32"/>
        </w:rPr>
        <w:t>3.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**Term**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**Definition**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PII (Personally Identifiable Information)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Any information that can be used to identify a natural person, including but not limited to name, date of birth, PAN, Aadhaar, mobile number, email ID, address, bank account number, credit/debit card number, CVV, PIN, biometric data, and income details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Sensitive PII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PAN, Aadhaar, biometric data, password/PIN, CVV, full debit/credit card numbers, and bank account numbers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Non-Sensitive PII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Name, date of birth, email ID, address, and telephone number (excluding mobile)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Data Masking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The process of replacing sensitive data with realistic but fictitious data for non-production environments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Data Redaction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The process of obscuring portions of data (e.g., masking middle digits of PAN or mobile) in display screens, reports, and logs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Data Pseudonymization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Replacing PII with artificial identifiers or pseudonyms to reduce the linkability of data to an individual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PII Identification and Classification</w:t>
      </w:r>
    </w:p>
    <w:p>
      <w:pPr>
        <w:spacing w:before="160" w:after="60"/>
      </w:pPr>
      <w:r>
        <w:rPr>
          <w:b/>
          <w:color w:val="3A7CA5"/>
          <w:sz w:val="26"/>
        </w:rPr>
        <w:t>4.1 PII Data Inventory</w:t>
      </w:r>
    </w:p>
    <w:p>
      <w:pPr>
        <w:spacing w:before="20" w:after="20"/>
      </w:pPr>
      <w:r>
        <w:rPr>
          <w:sz w:val="20"/>
        </w:rPr>
        <w:t xml:space="preserve">1.  Each business unit shall maintain a </w:t>
      </w:r>
      <w:r>
        <w:rPr>
          <w:b/>
          <w:sz w:val="20"/>
        </w:rPr>
        <w:t>PII Data Inventory</w:t>
      </w:r>
      <w:r>
        <w:rPr>
          <w:sz w:val="20"/>
        </w:rPr>
        <w:t xml:space="preserve"> listing all data elements that constitute PII within their systems.</w:t>
      </w:r>
    </w:p>
    <w:p>
      <w:pPr>
        <w:spacing w:before="20" w:after="20"/>
      </w:pPr>
      <w:r>
        <w:rPr>
          <w:sz w:val="20"/>
        </w:rPr>
        <w:t>2.  The inventory shall be reviewed and updated quarterly or upon any significant system change.</w:t>
      </w:r>
    </w:p>
    <w:p>
      <w:pPr>
        <w:spacing w:before="20" w:after="20"/>
      </w:pPr>
      <w:r>
        <w:rPr>
          <w:sz w:val="20"/>
        </w:rPr>
        <w:t>3.  The Data Protection Office shall maintain the master PII Data Inventory for the entire organization.</w:t>
      </w:r>
    </w:p>
    <w:p>
      <w:pPr>
        <w:spacing w:before="160" w:after="60"/>
      </w:pPr>
      <w:r>
        <w:rPr>
          <w:b/>
          <w:color w:val="3A7CA5"/>
          <w:sz w:val="26"/>
        </w:rPr>
        <w:t>4.2 PII Classification</w:t>
      </w:r>
    </w:p>
    <w:p>
      <w:pPr>
        <w:spacing w:before="20" w:after="20"/>
      </w:pPr>
      <w:r>
        <w:rPr>
          <w:sz w:val="20"/>
        </w:rPr>
        <w:t>PII shall be classified into the following 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**Category**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**Examples**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**Protection Required**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Sensitive PII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PAN, Aadhaar, biometrics, passwords, PINs, CVV, full card numbers, account numbers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Highest – mandatory encryption at rest and in transit, strict access control, full masking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Personal PII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Name, date of birth, mobile number, email ID, address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High – encryption at rest and in transit, partial masking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Financial Information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Income, tax returns, credit score, loan details, transaction history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High – encryption at rest and in transit, access restricted on need-to-know basis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Demographic Data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Gender, nationality, occupation, employer name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Medium – access control and encryption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Data Masking Requirements</w:t>
      </w:r>
    </w:p>
    <w:p>
      <w:pPr>
        <w:spacing w:before="160" w:after="60"/>
      </w:pPr>
      <w:r>
        <w:rPr>
          <w:b/>
          <w:color w:val="3A7CA5"/>
          <w:sz w:val="26"/>
        </w:rPr>
        <w:t>5.1 Production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**Data Element**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**Display Masking (Screens)**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**Report Masking (Printed/PDF)**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**Log Masking**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**Notes**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XXXXX1234X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XXXXX1234X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Full redaction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Show only last 4 characters + first alphabet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Aadhaar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 XXXX 1234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 XXXX 1234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Full redaction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Show only last 4 digits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Mobile Number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XXXXX12345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XXXXX12345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Full redaction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Show only last 5 digits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Debit/Credit Card Number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123456XXXXXX1234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123456XXXXXX1234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Full redaction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Show first 6 and last 4 digits (PCI DSS compliance)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CVV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Full redaction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Never displayed, stored, or logged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Bank Account Number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XXXXXX1234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XXXXXX1234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Full redaction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Show only last 4 digits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Customer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Full display allowed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Full display allowed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 masking required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–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Email ID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j***@domain.com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j***@domain.com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Partial masking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Mask local part; display domain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Date of Birth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DD/MMM/YYYY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DD/MMM/YYYY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 masking required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Display in full where necessary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5.2 Non-Production Environments (DEV, UAT, Staging, Testing)</w:t>
      </w:r>
    </w:p>
    <w:p>
      <w:pPr>
        <w:spacing w:before="20" w:after="20"/>
      </w:pPr>
      <w:r>
        <w:rPr>
          <w:sz w:val="20"/>
        </w:rPr>
        <w:t xml:space="preserve">1.  </w:t>
      </w:r>
      <w:r>
        <w:rPr>
          <w:b/>
          <w:sz w:val="20"/>
        </w:rPr>
        <w:t>All PII must be masked or replaced with synthetic data</w:t>
      </w:r>
      <w:r>
        <w:rPr>
          <w:sz w:val="20"/>
        </w:rPr>
        <w:t xml:space="preserve"> in non-production environments.</w:t>
      </w:r>
    </w:p>
    <w:p>
      <w:pPr>
        <w:spacing w:before="20" w:after="20"/>
      </w:pPr>
      <w:r>
        <w:rPr>
          <w:sz w:val="20"/>
        </w:rPr>
        <w:t>2.  Irreversible data masking algorithms shall be used – masking must not be reversible.</w:t>
      </w:r>
    </w:p>
    <w:p>
      <w:pPr>
        <w:spacing w:before="20" w:after="20"/>
      </w:pPr>
      <w:r>
        <w:rPr>
          <w:sz w:val="20"/>
        </w:rPr>
        <w:t>3.  Production PII shall never be copied to non-production environments without CDPO approval.</w:t>
      </w:r>
    </w:p>
    <w:p>
      <w:pPr>
        <w:spacing w:before="20" w:after="20"/>
      </w:pPr>
      <w:r>
        <w:rPr>
          <w:sz w:val="20"/>
        </w:rPr>
        <w:t>4.  Masked data must be realistic and maintain referential integrity for testing purposes.</w:t>
      </w:r>
    </w:p>
    <w:p>
      <w:pPr>
        <w:spacing w:before="160" w:after="60"/>
      </w:pPr>
      <w:r>
        <w:rPr>
          <w:b/>
          <w:color w:val="3A7CA5"/>
          <w:sz w:val="26"/>
        </w:rPr>
        <w:t>5.3 Database-Level Masking</w:t>
      </w:r>
    </w:p>
    <w:p>
      <w:pPr>
        <w:spacing w:before="20" w:after="20"/>
      </w:pPr>
      <w:r>
        <w:rPr>
          <w:sz w:val="20"/>
        </w:rPr>
        <w:t>1.  All databases containing PII must implement column-level encryption or masking at the database tier.</w:t>
      </w:r>
    </w:p>
    <w:p>
      <w:pPr>
        <w:spacing w:before="20" w:after="20"/>
      </w:pPr>
      <w:r>
        <w:rPr>
          <w:sz w:val="20"/>
        </w:rPr>
        <w:t>2.  Dynamic Data Masking (DDM) shall be configured for columns containing Sensitive PII.</w:t>
      </w:r>
    </w:p>
    <w:p>
      <w:pPr>
        <w:spacing w:before="20" w:after="20"/>
      </w:pPr>
      <w:r>
        <w:rPr>
          <w:sz w:val="20"/>
        </w:rPr>
        <w:t>3.  Database access logs must not contain unmasked PII values.</w:t>
      </w:r>
    </w:p>
    <w:p>
      <w:pPr>
        <w:spacing w:before="20" w:after="20"/>
      </w:pPr>
      <w:r>
        <w:rPr>
          <w:sz w:val="20"/>
        </w:rPr>
        <w:t>4.  Backup and archive files must maintain masking or encryption of PII columns.</w:t>
      </w:r>
    </w:p>
    <w:p>
      <w:pPr>
        <w:spacing w:before="200" w:after="80"/>
      </w:pPr>
      <w:r>
        <w:rPr>
          <w:b/>
          <w:color w:val="2C5F8A"/>
          <w:sz w:val="32"/>
        </w:rPr>
        <w:t>6. PII Masking Implementation – Application-Specific Requirements</w:t>
      </w:r>
    </w:p>
    <w:p>
      <w:pPr>
        <w:spacing w:before="160" w:after="60"/>
      </w:pPr>
      <w:r>
        <w:rPr>
          <w:b/>
          <w:color w:val="3A7CA5"/>
          <w:sz w:val="26"/>
        </w:rPr>
        <w:t>6.1 Internet Banking Portal</w:t>
      </w:r>
    </w:p>
    <w:p>
      <w:pPr>
        <w:spacing w:before="20" w:after="20"/>
      </w:pPr>
      <w:r>
        <w:rPr>
          <w:sz w:val="20"/>
        </w:rPr>
        <w:t>1.  Account numbers on dashboards and transaction history screens: Mask to show last 4 digits only.</w:t>
      </w:r>
    </w:p>
    <w:p>
      <w:pPr>
        <w:spacing w:before="20" w:after="20"/>
      </w:pPr>
      <w:r>
        <w:rPr>
          <w:sz w:val="20"/>
        </w:rPr>
        <w:t>2.  PAN displayed in profile section: Masked format (XXXXX1234X).</w:t>
      </w:r>
    </w:p>
    <w:p>
      <w:pPr>
        <w:spacing w:before="20" w:after="20"/>
      </w:pPr>
      <w:r>
        <w:rPr>
          <w:sz w:val="20"/>
        </w:rPr>
        <w:t>3.  Mobile number in profile/contact section: Masked format (XXXXX12345).</w:t>
      </w:r>
    </w:p>
    <w:p>
      <w:pPr>
        <w:spacing w:before="20" w:after="20"/>
      </w:pPr>
      <w:r>
        <w:rPr>
          <w:sz w:val="20"/>
        </w:rPr>
        <w:t>4.  Credit/debit card details in card management section: Masked (first 6, last 4).</w:t>
      </w:r>
    </w:p>
    <w:p>
      <w:pPr>
        <w:spacing w:before="20" w:after="20"/>
      </w:pPr>
      <w:r>
        <w:rPr>
          <w:sz w:val="20"/>
        </w:rPr>
        <w:t>5.  Beneficiary account numbers: Full display allowed only during and immediately after addition; masked in beneficiary list.</w:t>
      </w:r>
    </w:p>
    <w:p>
      <w:pPr>
        <w:spacing w:before="160" w:after="60"/>
      </w:pPr>
      <w:r>
        <w:rPr>
          <w:b/>
          <w:color w:val="3A7CA5"/>
          <w:sz w:val="26"/>
        </w:rPr>
        <w:t>6.2 Mobile Banking Application (Android and iOS)</w:t>
      </w:r>
    </w:p>
    <w:p>
      <w:pPr>
        <w:spacing w:before="20" w:after="20"/>
      </w:pPr>
      <w:r>
        <w:rPr>
          <w:sz w:val="20"/>
        </w:rPr>
        <w:t>1.  All masking requirements as per Internet Banking (Section 6.1) apply.</w:t>
      </w:r>
    </w:p>
    <w:p>
      <w:pPr>
        <w:spacing w:before="20" w:after="20"/>
      </w:pPr>
      <w:r>
        <w:rPr>
          <w:sz w:val="20"/>
        </w:rPr>
        <w:t>2.  Biometric data (fingerprint, face scan) must not be stored on the device – use OS-level biometric APIs for authentication only.</w:t>
      </w:r>
    </w:p>
    <w:p>
      <w:pPr>
        <w:spacing w:before="20" w:after="20"/>
      </w:pPr>
      <w:r>
        <w:rPr>
          <w:sz w:val="20"/>
        </w:rPr>
        <w:t>3.  Push notifications must not contain PII in the notification payload.</w:t>
      </w:r>
    </w:p>
    <w:p>
      <w:pPr>
        <w:spacing w:before="160" w:after="60"/>
      </w:pPr>
      <w:r>
        <w:rPr>
          <w:b/>
          <w:color w:val="3A7CA5"/>
          <w:sz w:val="26"/>
        </w:rPr>
        <w:t>6.3 Core Banking System (CBS)</w:t>
      </w:r>
    </w:p>
    <w:p>
      <w:pPr>
        <w:spacing w:before="20" w:after="20"/>
      </w:pPr>
      <w:r>
        <w:rPr>
          <w:sz w:val="20"/>
        </w:rPr>
        <w:t>1.  CBS database tables containing PII must be identified and tagged in the PII Data Inventory.</w:t>
      </w:r>
    </w:p>
    <w:p>
      <w:pPr>
        <w:spacing w:before="20" w:after="20"/>
      </w:pPr>
      <w:r>
        <w:rPr>
          <w:sz w:val="20"/>
        </w:rPr>
        <w:t>2.  Direct database queries (via SQL clients or reporting tools) must return masked PII for non-privileged users.</w:t>
      </w:r>
    </w:p>
    <w:p>
      <w:pPr>
        <w:spacing w:before="20" w:after="20"/>
      </w:pPr>
      <w:r>
        <w:rPr>
          <w:sz w:val="20"/>
        </w:rPr>
        <w:t>3.  Privileged access to unmasked PII requires approval from the Data Protection Office and must be logged and audited.</w:t>
      </w:r>
    </w:p>
    <w:p>
      <w:pPr>
        <w:spacing w:before="20" w:after="20"/>
      </w:pPr>
      <w:r>
        <w:rPr>
          <w:sz w:val="20"/>
        </w:rPr>
        <w:t>4.  Batch jobs and reports that output PII must implement masking as per Section 5.1.</w:t>
      </w:r>
    </w:p>
    <w:p>
      <w:pPr>
        <w:spacing w:before="160" w:after="60"/>
      </w:pPr>
      <w:r>
        <w:rPr>
          <w:b/>
          <w:color w:val="3A7CA5"/>
          <w:sz w:val="26"/>
        </w:rPr>
        <w:t>6.4 Call Center and Branch Applications</w:t>
      </w:r>
    </w:p>
    <w:p>
      <w:pPr>
        <w:spacing w:before="20" w:after="20"/>
      </w:pPr>
      <w:r>
        <w:rPr>
          <w:sz w:val="20"/>
        </w:rPr>
        <w:t>1.  Call center agents shall have masked view of customer PII by default.</w:t>
      </w:r>
    </w:p>
    <w:p>
      <w:pPr>
        <w:spacing w:before="20" w:after="20"/>
      </w:pPr>
      <w:r>
        <w:rPr>
          <w:sz w:val="20"/>
        </w:rPr>
        <w:t>2.  Full unmasked PII shall only be available upon supervisor approval and with call recording for audit.</w:t>
      </w:r>
    </w:p>
    <w:p>
      <w:pPr>
        <w:spacing w:before="20" w:after="20"/>
      </w:pPr>
      <w:r>
        <w:rPr>
          <w:sz w:val="20"/>
        </w:rPr>
        <w:t>3.  Branch teller applications must mask CVV and full card numbers on screen.</w:t>
      </w:r>
    </w:p>
    <w:p>
      <w:pPr>
        <w:spacing w:before="200" w:after="80"/>
      </w:pPr>
      <w:r>
        <w:rPr>
          <w:b/>
          <w:color w:val="2C5F8A"/>
          <w:sz w:val="32"/>
        </w:rPr>
        <w:t>7. Data Encryption Requirements</w:t>
      </w:r>
    </w:p>
    <w:p>
      <w:pPr>
        <w:spacing w:before="20" w:after="20"/>
      </w:pPr>
      <w:r>
        <w:rPr>
          <w:sz w:val="20"/>
        </w:rPr>
        <w:t xml:space="preserve">1.  </w:t>
      </w:r>
      <w:r>
        <w:rPr>
          <w:b/>
          <w:sz w:val="20"/>
        </w:rPr>
        <w:t>At Rest</w:t>
      </w:r>
      <w:r>
        <w:rPr>
          <w:sz w:val="20"/>
        </w:rPr>
        <w:t>: All PII in databases must be encrypted using AES-256 or equivalent approved algorithm.</w:t>
      </w:r>
    </w:p>
    <w:p>
      <w:pPr>
        <w:spacing w:before="20" w:after="20"/>
      </w:pPr>
      <w:r>
        <w:rPr>
          <w:sz w:val="20"/>
        </w:rPr>
        <w:t xml:space="preserve">2.  </w:t>
      </w:r>
      <w:r>
        <w:rPr>
          <w:b/>
          <w:sz w:val="20"/>
        </w:rPr>
        <w:t>In Transit</w:t>
      </w:r>
      <w:r>
        <w:rPr>
          <w:sz w:val="20"/>
        </w:rPr>
        <w:t>: All PII transmitted over networks must use TLS v1.2 or higher.</w:t>
      </w:r>
    </w:p>
    <w:p>
      <w:pPr>
        <w:spacing w:before="20" w:after="20"/>
      </w:pPr>
      <w:r>
        <w:rPr>
          <w:sz w:val="20"/>
        </w:rPr>
        <w:t xml:space="preserve">3.  </w:t>
      </w:r>
      <w:r>
        <w:rPr>
          <w:b/>
          <w:sz w:val="20"/>
        </w:rPr>
        <w:t>Key Management</w:t>
      </w:r>
      <w:r>
        <w:rPr>
          <w:sz w:val="20"/>
        </w:rPr>
        <w:t>: Encryption keys must be managed through a centralized Key Management System (KMS) with rotation every 90 days for production keys.</w:t>
      </w:r>
    </w:p>
    <w:p>
      <w:pPr>
        <w:spacing w:before="200" w:after="80"/>
      </w:pPr>
      <w:r>
        <w:rPr>
          <w:b/>
          <w:color w:val="2C5F8A"/>
          <w:sz w:val="32"/>
        </w:rPr>
        <w:t>8. Data Retention and Disposal</w:t>
      </w:r>
    </w:p>
    <w:p>
      <w:pPr>
        <w:spacing w:before="20" w:after="20"/>
      </w:pPr>
      <w:r>
        <w:rPr>
          <w:sz w:val="20"/>
        </w:rPr>
        <w:t>1.  PII shall be retained only for as long as necessary to fulfill the business purpose or as required by regulatory mandates.</w:t>
      </w:r>
    </w:p>
    <w:p>
      <w:pPr>
        <w:spacing w:before="20" w:after="20"/>
      </w:pPr>
      <w:r>
        <w:rPr>
          <w:sz w:val="20"/>
        </w:rPr>
        <w:t>2.  Upon expiry of the retention period, PII must be securely disposed of using approved data destruction methods (e.g., secure erase, degaussing, physical shredding).</w:t>
      </w:r>
    </w:p>
    <w:p>
      <w:pPr>
        <w:spacing w:before="20" w:after="20"/>
      </w:pPr>
      <w:r>
        <w:rPr>
          <w:sz w:val="20"/>
        </w:rPr>
        <w:t xml:space="preserve">3.  A </w:t>
      </w:r>
      <w:r>
        <w:rPr>
          <w:b/>
          <w:sz w:val="20"/>
        </w:rPr>
        <w:t>Data Retention Schedule</w:t>
      </w:r>
      <w:r>
        <w:rPr>
          <w:sz w:val="20"/>
        </w:rPr>
        <w:t xml:space="preserve"> (REF: BMBL-DRS-2026) shall be maintained by the Data Protection Office.</w:t>
      </w:r>
    </w:p>
    <w:p>
      <w:pPr>
        <w:spacing w:before="200" w:after="80"/>
      </w:pPr>
      <w:r>
        <w:rPr>
          <w:b/>
          <w:color w:val="2C5F8A"/>
          <w:sz w:val="32"/>
        </w:rPr>
        <w:t>9.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**Role**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**Responsibility**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Data Protection Officer (CDPO)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ownership, compliance oversight, breach response leadership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security controls, encryption standards, security monitoring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Protection Manager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PII inventory management, masking implementation reviews, training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Application Development Heads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Implementing masking in applications, database encryption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Database Administrator (DBA)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Database-level masking, encryption, access control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Periodic audit of PII protection controls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Compliance Officer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Regulatory compliance tracking and reporting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10. Breach Notification</w:t>
      </w:r>
    </w:p>
    <w:p>
      <w:pPr>
        <w:spacing w:before="20" w:after="20"/>
      </w:pPr>
      <w:r>
        <w:rPr>
          <w:sz w:val="20"/>
        </w:rPr>
        <w:t>1.  Any suspected or actual breach of PII must be reported to the CDPO and CISO within 1 hour of detection.</w:t>
      </w:r>
    </w:p>
    <w:p>
      <w:pPr>
        <w:spacing w:before="20" w:after="20"/>
      </w:pPr>
      <w:r>
        <w:rPr>
          <w:sz w:val="20"/>
        </w:rPr>
        <w:t>2.  The bank shall notify affected customers and the relevant regulatory authority (RBI / CERT-In) within the timelines prescribed by law.</w:t>
      </w:r>
    </w:p>
    <w:p>
      <w:pPr>
        <w:spacing w:before="20" w:after="20"/>
      </w:pPr>
      <w:r>
        <w:rPr>
          <w:sz w:val="20"/>
        </w:rPr>
        <w:t>3.  A breach response plan shall be maintained and tested half-yearly.</w:t>
      </w:r>
    </w:p>
    <w:p>
      <w:pPr>
        <w:spacing w:before="200" w:after="80"/>
      </w:pPr>
      <w:r>
        <w:rPr>
          <w:b/>
          <w:color w:val="2C5F8A"/>
          <w:sz w:val="32"/>
        </w:rPr>
        <w:t>11. Training and Awareness</w:t>
      </w:r>
    </w:p>
    <w:p>
      <w:pPr>
        <w:spacing w:before="20" w:after="20"/>
      </w:pPr>
      <w:r>
        <w:rPr>
          <w:sz w:val="20"/>
        </w:rPr>
        <w:t>1.  All employees handling PII shall undergo mandatory annual training on PII data protection.</w:t>
      </w:r>
    </w:p>
    <w:p>
      <w:pPr>
        <w:spacing w:before="20" w:after="20"/>
      </w:pPr>
      <w:r>
        <w:rPr>
          <w:sz w:val="20"/>
        </w:rPr>
        <w:t>2.  Role-specific training on data masking techniques and database encryption shall be provided to developers and DBAs.</w:t>
      </w:r>
    </w:p>
    <w:p>
      <w:pPr>
        <w:spacing w:before="20" w:after="20"/>
      </w:pPr>
      <w:r>
        <w:rPr>
          <w:sz w:val="20"/>
        </w:rPr>
        <w:t>3.  Training completion shall be tracked and reported to the Board Audit Committee.</w:t>
      </w:r>
    </w:p>
    <w:p>
      <w:pPr>
        <w:spacing w:before="200" w:after="80"/>
      </w:pPr>
      <w:r>
        <w:rPr>
          <w:b/>
          <w:color w:val="2C5F8A"/>
          <w:sz w:val="32"/>
        </w:rPr>
        <w:t>12. Audit and Compliance</w:t>
      </w:r>
    </w:p>
    <w:p>
      <w:pPr>
        <w:spacing w:before="20" w:after="20"/>
      </w:pPr>
      <w:r>
        <w:rPr>
          <w:sz w:val="20"/>
        </w:rPr>
        <w:t>1.  Quarterly audits shall be conducted to verify compliance with PII masking requirements across all applications and databases.</w:t>
      </w:r>
    </w:p>
    <w:p>
      <w:pPr>
        <w:spacing w:before="20" w:after="20"/>
      </w:pPr>
      <w:r>
        <w:rPr>
          <w:sz w:val="20"/>
        </w:rPr>
        <w:t>2.  Non-compliance shall be reported to the CDPO and tracked in the GRC tool with a mandatory remediation plan.</w:t>
      </w:r>
    </w:p>
    <w:p>
      <w:pPr>
        <w:spacing w:before="20" w:after="20"/>
      </w:pPr>
      <w:r>
        <w:rPr>
          <w:sz w:val="20"/>
        </w:rPr>
        <w:t>3.  Annual external audit / penetration testing shall validate the effectiveness of PII protection controls.</w:t>
      </w:r>
    </w:p>
    <w:p>
      <w:pPr>
        <w:spacing w:before="200" w:after="80"/>
      </w:pPr>
      <w:r>
        <w:rPr>
          <w:b/>
          <w:color w:val="2C5F8A"/>
          <w:sz w:val="32"/>
        </w:rPr>
        <w:t>13. Related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**Document**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**Reference**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Secure Coding and Code Review Policy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DI-06-01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Classification Policy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BMBL-DCP-2026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Retention Schedule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BMBL-DRS-2026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Encryption Standards Policy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BMBL-ESP-2026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Vendor Data Protection Agreement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BMBL-VDPA-2026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Incident Response Plan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BMBL-IRP-2026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14. Policy Exceptions</w:t>
      </w:r>
    </w:p>
    <w:p>
      <w:pPr>
        <w:spacing w:before="20" w:after="20"/>
      </w:pPr>
      <w:r>
        <w:rPr>
          <w:sz w:val="20"/>
        </w:rPr>
        <w:t>Any deviation from this policy must be formally requested using the Security Policy Exception Form (REF: BMBL-SPF-2026) and approved by the CDPO and CISO jointly. Exceptions shall be reviewed quarterly.</w:t>
      </w:r>
    </w:p>
    <w:p>
      <w:pPr>
        <w:spacing w:before="200" w:after="80"/>
      </w:pPr>
      <w:r>
        <w:rPr>
          <w:b/>
          <w:color w:val="2C5F8A"/>
          <w:sz w:val="32"/>
        </w:rPr>
        <w:t>15. Enforcement</w:t>
      </w:r>
    </w:p>
    <w:p>
      <w:pPr>
        <w:spacing w:before="20" w:after="20"/>
      </w:pPr>
      <w:r>
        <w:rPr>
          <w:sz w:val="20"/>
        </w:rPr>
        <w:t>Violation of this policy may result in disciplinary action, including termination, civil liability, and criminal prosecution in accordance with applicable data protection laws.</w:t>
      </w:r>
    </w:p>
    <w:p>
      <w:pPr>
        <w:spacing w:before="200" w:after="80"/>
      </w:pPr>
      <w:r>
        <w:rPr>
          <w:b/>
          <w:color w:val="2C5F8A"/>
          <w:sz w:val="32"/>
        </w:rPr>
        <w:t>16. Document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**Version**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**Date**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**Author**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**Description of Change**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15-Jun-2024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CDPO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2.0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01-Apr-2025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CDPO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Revised for RBI DPDP 2023 guidelines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2.1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CDPO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Updated database masking requirements, added call center section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17.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**Role**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**Name**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**Signature**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**Date**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Data Protection Officer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[CDPO Name]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[Signature]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[CISO Name]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[Signature]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Officer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[CIO Name]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[Signature]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</w:tr>
    </w:tbl>
    <w:p/>
    <w:p>
      <w:pPr>
        <w:spacing w:before="20" w:after="20"/>
      </w:pPr>
      <w:r>
        <w:rPr>
          <w:sz w:val="20"/>
        </w:rPr>
        <w:t>*End of Document*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