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Change Management Policy</w:t>
      </w:r>
    </w:p>
    <w:p>
      <w:pPr>
        <w:spacing w:before="160" w:after="60"/>
      </w:pPr>
      <w:r>
        <w:rPr>
          <w:b/>
          <w:color w:val="3A7CA5"/>
          <w:sz w:val="26"/>
        </w:rPr>
        <w:t>Document Reference: DI-07-03 | Version: 2.0 | Effective Date: 01-Apr-2026</w:t>
      </w:r>
    </w:p>
    <w:p>
      <w:pPr>
        <w:spacing w:before="200" w:after="80"/>
      </w:pPr>
      <w:r>
        <w:rPr>
          <w:b/>
          <w:color w:val="2C5F8A"/>
          <w:sz w:val="32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**Item**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**Details**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 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Officer (CIO)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 – Internal Use Only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 Cycle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Half-yearly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Next Review Date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30-Sep-2026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Applicable Standards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Framework, ISO 27001:2022, ITIL v4, COBIT 2019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The purpose of this policy is to establish a centralized change management function at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(BMBL) to govern all changes to the bank's IT infrastructure, applications, databases, and security controls. This policy defines the change classification, approval processes, emergency change procedures, and mandatory post-implementation review (PIR) requirements to ensure that all changes are assessed, authorized, implemented, and reviewed in a controlled manner to minimize operational risk.</w:t>
      </w:r>
    </w:p>
    <w:p>
      <w:pPr>
        <w:spacing w:before="200" w:after="80"/>
      </w:pPr>
      <w:r>
        <w:rPr>
          <w:b/>
          <w:color w:val="2C5F8A"/>
          <w:sz w:val="32"/>
        </w:rPr>
        <w:t>2. Scope</w:t>
      </w:r>
    </w:p>
    <w:p>
      <w:pPr>
        <w:spacing w:before="20" w:after="20"/>
      </w:pPr>
      <w:r>
        <w:rPr>
          <w:sz w:val="20"/>
        </w:rPr>
        <w:t>This policy applies to:</w:t>
      </w:r>
    </w:p>
    <w:p>
      <w:pPr>
        <w:spacing w:before="20" w:after="20"/>
      </w:pPr>
      <w:r>
        <w:rPr>
          <w:sz w:val="20"/>
        </w:rPr>
        <w:t>1.  All changes to production IT systems, applications, databases, and infrastructure</w:t>
      </w:r>
    </w:p>
    <w:p>
      <w:pPr>
        <w:spacing w:before="20" w:after="20"/>
      </w:pPr>
      <w:r>
        <w:rPr>
          <w:sz w:val="20"/>
        </w:rPr>
        <w:t>2.  All changes to network devices, security controls, and monitoring systems</w:t>
      </w:r>
    </w:p>
    <w:p>
      <w:pPr>
        <w:spacing w:before="20" w:after="20"/>
      </w:pPr>
      <w:r>
        <w:rPr>
          <w:sz w:val="20"/>
        </w:rPr>
        <w:t>3.  All changes to operating systems, middleware, and third-party software configurations</w:t>
      </w:r>
    </w:p>
    <w:p>
      <w:pPr>
        <w:spacing w:before="20" w:after="20"/>
      </w:pPr>
      <w:r>
        <w:rPr>
          <w:sz w:val="20"/>
        </w:rPr>
        <w:t>4.  All application releases, patches, hotfixes, and configuration changes</w:t>
      </w:r>
    </w:p>
    <w:p>
      <w:pPr>
        <w:spacing w:before="20" w:after="20"/>
      </w:pPr>
      <w:r>
        <w:rPr>
          <w:sz w:val="20"/>
        </w:rPr>
        <w:t>5.  All changes to cloud infrastructure and services</w:t>
      </w:r>
    </w:p>
    <w:p>
      <w:pPr>
        <w:spacing w:before="20" w:after="20"/>
      </w:pPr>
      <w:r>
        <w:rPr>
          <w:sz w:val="20"/>
        </w:rPr>
        <w:t>6.  All employees, contractors, vendors, and managed service providers making changes to BMBL systems</w:t>
      </w:r>
    </w:p>
    <w:p>
      <w:pPr>
        <w:spacing w:before="20" w:after="20"/>
      </w:pPr>
      <w:r>
        <w:rPr>
          <w:sz w:val="20"/>
        </w:rPr>
        <w:t>7.  All environments (Development, Testing, Staging, and Production)</w:t>
      </w:r>
    </w:p>
    <w:p>
      <w:pPr>
        <w:spacing w:before="200" w:after="80"/>
      </w:pPr>
      <w:r>
        <w:rPr>
          <w:b/>
          <w:color w:val="2C5F8A"/>
          <w:sz w:val="32"/>
        </w:rPr>
        <w:t>3. Change Management Governance Structure</w:t>
      </w:r>
    </w:p>
    <w:p>
      <w:pPr>
        <w:spacing w:before="160" w:after="60"/>
      </w:pPr>
      <w:r>
        <w:rPr>
          <w:b/>
          <w:color w:val="3A7CA5"/>
          <w:sz w:val="26"/>
        </w:rPr>
        <w:t>3.1 Centralized Change Management Function (CCMF)</w:t>
      </w:r>
    </w:p>
    <w:p>
      <w:pPr>
        <w:spacing w:before="20" w:after="20"/>
      </w:pPr>
      <w:r>
        <w:rPr>
          <w:sz w:val="20"/>
        </w:rPr>
        <w:t xml:space="preserve">1.  A </w:t>
      </w:r>
      <w:r>
        <w:rPr>
          <w:b/>
          <w:sz w:val="20"/>
        </w:rPr>
        <w:t>Centralized Change Management Function (CCMF)</w:t>
      </w:r>
      <w:r>
        <w:rPr>
          <w:sz w:val="20"/>
        </w:rPr>
        <w:t xml:space="preserve"> shall be established under the Office of the CIO.</w:t>
      </w:r>
    </w:p>
    <w:p>
      <w:pPr>
        <w:spacing w:before="20" w:after="20"/>
      </w:pPr>
      <w:r>
        <w:rPr>
          <w:sz w:val="20"/>
        </w:rPr>
        <w:t>2.  The CCMF shall be responsible for: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Maintaining the change management tool and process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Scheduling and facilitating Change Advisory Board (CAB) meetings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Tracking all changes through their lifecycle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Ensuring compliance with this policy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Generating change management reports for management review</w:t>
      </w:r>
    </w:p>
    <w:p>
      <w:pPr>
        <w:spacing w:before="20" w:after="20"/>
      </w:pPr>
      <w:r>
        <w:rPr>
          <w:sz w:val="20"/>
        </w:rPr>
        <w:t xml:space="preserve">3.  A </w:t>
      </w:r>
      <w:r>
        <w:rPr>
          <w:b/>
          <w:sz w:val="20"/>
        </w:rPr>
        <w:t>Change Manager</w:t>
      </w:r>
      <w:r>
        <w:rPr>
          <w:sz w:val="20"/>
        </w:rPr>
        <w:t xml:space="preserve"> shall be designated to lead the CCMF.</w:t>
      </w:r>
    </w:p>
    <w:p>
      <w:pPr>
        <w:spacing w:before="160" w:after="60"/>
      </w:pPr>
      <w:r>
        <w:rPr>
          <w:b/>
          <w:color w:val="3A7CA5"/>
          <w:sz w:val="26"/>
        </w:rPr>
        <w:t>3.2 Change Advisory Board (CAB)</w:t>
      </w:r>
    </w:p>
    <w:p>
      <w:pPr>
        <w:spacing w:before="20" w:after="20"/>
      </w:pPr>
      <w:r>
        <w:rPr>
          <w:sz w:val="20"/>
        </w:rPr>
        <w:t xml:space="preserve">1.  A </w:t>
      </w:r>
      <w:r>
        <w:rPr>
          <w:b/>
          <w:sz w:val="20"/>
        </w:rPr>
        <w:t>Change Advisory Board (CAB)</w:t>
      </w:r>
      <w:r>
        <w:rPr>
          <w:sz w:val="20"/>
        </w:rPr>
        <w:t xml:space="preserve"> shall be constituted with the following permanent members: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**Designation**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**Voting Rights**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Chair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IT Operations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(Deciding vote)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Manager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Service Delivery Manager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(Facilitator)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Security Representative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Application Security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Infrastructure Representative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Infrastructure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Database Representative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DBA Team Lead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Business Representative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Respective Business Unit Head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Representative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Risk Manager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Compliance Representative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Compliance Officer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Manager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Management Lead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(Advisory)</w:t>
            </w:r>
          </w:p>
        </w:tc>
      </w:tr>
    </w:tbl>
    <w:p/>
    <w:p>
      <w:pPr>
        <w:spacing w:before="20" w:after="20"/>
      </w:pPr>
      <w:r>
        <w:rPr>
          <w:sz w:val="20"/>
        </w:rPr>
        <w:t>2.  CAB meetings shall be held: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Regular CAB</w:t>
      </w:r>
      <w:r>
        <w:rPr>
          <w:sz w:val="20"/>
        </w:rPr>
        <w:t>: Every Wednesday at 10:00 AM IST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Emergency CAB</w:t>
      </w:r>
      <w:r>
        <w:rPr>
          <w:sz w:val="20"/>
        </w:rPr>
        <w:t>: Convened on demand within 4 hours for emergency changes</w:t>
      </w:r>
    </w:p>
    <w:p>
      <w:pPr>
        <w:spacing w:before="20" w:after="20"/>
      </w:pPr>
      <w:r>
        <w:rPr>
          <w:sz w:val="20"/>
        </w:rPr>
        <w:t>3.  Quorum for CAB: Minimum 5 voting members including the CAB Chair.</w:t>
      </w:r>
    </w:p>
    <w:p>
      <w:pPr>
        <w:spacing w:before="200" w:after="80"/>
      </w:pPr>
      <w:r>
        <w:rPr>
          <w:b/>
          <w:color w:val="2C5F8A"/>
          <w:sz w:val="32"/>
        </w:rPr>
        <w:t>4. Change Classification</w:t>
      </w:r>
    </w:p>
    <w:p>
      <w:pPr>
        <w:spacing w:before="20" w:after="20"/>
      </w:pPr>
      <w:r>
        <w:rPr>
          <w:sz w:val="20"/>
        </w:rPr>
        <w:t>All changes shall be classified into the following categories:</w:t>
      </w:r>
    </w:p>
    <w:p>
      <w:pPr>
        <w:spacing w:before="160" w:after="60"/>
      </w:pPr>
      <w:r>
        <w:rPr>
          <w:b/>
          <w:color w:val="3A7CA5"/>
          <w:sz w:val="26"/>
        </w:rPr>
        <w:t>4.1 Standard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**Criteria**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Definition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Pre-approved, low-risk changes that follow a defined procedure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Examples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User account creation, password reset, scheduled patch deployment, antivirus update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Approval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Pre-approved (no CAB required)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Notification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Post-deployment notification within 24 hours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PIR Required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RFC with standard template; maintained in change management tool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4.2 Normal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**Criteria**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Definition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Changes requiring assessment and approval through standard CAB process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Examples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release, database schema change, server configuration change, firewall rule change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 to High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Approval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meeting approval required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Lead 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Minimum 5 working days before planned implementation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PIR Required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(within 7 days of implementation)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Detailed RFC with risk assessment, implementation plan, rollback plan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4.3 Major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**Criteria**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Definition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High-impact, high-risk changes that may affect multiple systems or business processes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Examples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Core banking upgrade, data center migration, cloud migration, major version upgrade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 to Critical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Approval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+ IT Steering Committee approval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Lead 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Minimum 15 working days before planned implementation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PIR Required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(within 14 days of implementation)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Comprehensive RFC with business case, risk assessment, test results, rollback plan, communication plan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4.4 Emergency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**Criteria**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Definition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Changes required urgently to resolve a critical incident or address a security vulnerability with active exploitation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Examples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 security patch, production outage fix, ransomware containment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 (mitigated by urgency)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Approval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CAB (convened within 4 hours)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Lead 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soon as possible (within 24 hours of approval)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PIR Required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Mandatory</w:t>
            </w:r>
            <w:r>
              <w:rPr>
                <w:sz w:val="20"/>
              </w:rPr>
              <w:t xml:space="preserve"> (within 7 days of implementation)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Abridged RFC + retrospective PIR document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Change Management Process</w:t>
      </w:r>
    </w:p>
    <w:p>
      <w:pPr>
        <w:spacing w:before="160" w:after="60"/>
      </w:pPr>
      <w:r>
        <w:rPr>
          <w:b/>
          <w:color w:val="3A7CA5"/>
          <w:sz w:val="26"/>
        </w:rPr>
        <w:t>5.1 Request for Change (RFC)</w:t>
      </w:r>
    </w:p>
    <w:p>
      <w:pPr>
        <w:spacing w:before="20" w:after="20"/>
      </w:pPr>
      <w:r>
        <w:rPr>
          <w:sz w:val="20"/>
        </w:rPr>
        <w:t xml:space="preserve">1.  Every change shall be initiated by submitting a </w:t>
      </w:r>
      <w:r>
        <w:rPr>
          <w:b/>
          <w:sz w:val="20"/>
        </w:rPr>
        <w:t>Request for Change (RFC)</w:t>
      </w:r>
      <w:r>
        <w:rPr>
          <w:sz w:val="20"/>
        </w:rPr>
        <w:t xml:space="preserve"> through the bank's change management tool (ServiceNow).</w:t>
      </w:r>
    </w:p>
    <w:p>
      <w:pPr>
        <w:spacing w:before="20" w:after="20"/>
      </w:pPr>
      <w:r>
        <w:rPr>
          <w:sz w:val="20"/>
        </w:rPr>
        <w:t>2.  The RFC shall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Unique RFC ID (auto-generated)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Change title and description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Change category (Standard / Normal / Major / Emergency)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Risk assessment (including security impact)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Implementation plan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Rollback plan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Test results (for Normal and Major changes)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requirements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Planned implementation date and time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Expected downtime (if any)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Communication plan</w:t>
      </w:r>
    </w:p>
    <w:p>
      <w:pPr>
        <w:spacing w:before="160" w:after="60"/>
      </w:pPr>
      <w:r>
        <w:rPr>
          <w:b/>
          <w:color w:val="3A7CA5"/>
          <w:sz w:val="26"/>
        </w:rPr>
        <w:t>5.2 Change Assessment</w:t>
      </w:r>
    </w:p>
    <w:p>
      <w:pPr>
        <w:spacing w:before="20" w:after="20"/>
      </w:pPr>
      <w:r>
        <w:rPr>
          <w:sz w:val="20"/>
        </w:rPr>
        <w:t>1.  The Change Manager shall assess each RFC for completeness and accuracy.</w:t>
      </w:r>
    </w:p>
    <w:p>
      <w:pPr>
        <w:spacing w:before="20" w:after="20"/>
      </w:pPr>
      <w:r>
        <w:rPr>
          <w:sz w:val="20"/>
        </w:rPr>
        <w:t>2.  The respective CAB member shall assess the technical and business impact.</w:t>
      </w:r>
    </w:p>
    <w:p>
      <w:pPr>
        <w:spacing w:before="20" w:after="20"/>
      </w:pPr>
      <w:r>
        <w:rPr>
          <w:sz w:val="20"/>
        </w:rPr>
        <w:t>3.  Risk assessment shall be performed using the BMBL Change Risk Assessment Matrix.</w:t>
      </w:r>
    </w:p>
    <w:p>
      <w:pPr>
        <w:spacing w:before="160" w:after="60"/>
      </w:pPr>
      <w:r>
        <w:rPr>
          <w:b/>
          <w:color w:val="3A7CA5"/>
          <w:sz w:val="26"/>
        </w:rPr>
        <w:t>5.3 Change Approval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**Change Type**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**Assessor**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**Approver**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**Approval Method**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Standard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Manager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Pre-approved template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Automated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Normal (Low Risk)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Member (Technical)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Chair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Email approval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Normal (Medium Risk)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Members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(Majority vote)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meeting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Major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+ IT Steering Committee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+ CIO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meeting + Steering Committee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Chair + CISO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CAB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CAB meeting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5.4 Change Implementation</w:t>
      </w:r>
    </w:p>
    <w:p>
      <w:pPr>
        <w:spacing w:before="20" w:after="20"/>
      </w:pPr>
      <w:r>
        <w:rPr>
          <w:sz w:val="20"/>
        </w:rPr>
        <w:t>1.  Changes shall be implemented only during approved maintenance windows: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Standard maintenance window</w:t>
      </w:r>
      <w:r>
        <w:rPr>
          <w:sz w:val="20"/>
        </w:rPr>
        <w:t>: Sundays, 02:00 AM – 06:00 AM IST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Emergency changes</w:t>
      </w:r>
      <w:r>
        <w:rPr>
          <w:sz w:val="20"/>
        </w:rPr>
        <w:t>: As approved by Emergency CAB</w:t>
      </w:r>
    </w:p>
    <w:p>
      <w:pPr>
        <w:spacing w:before="20" w:after="20"/>
      </w:pPr>
      <w:r>
        <w:rPr>
          <w:sz w:val="20"/>
        </w:rPr>
        <w:t>2.  Implementation shall follow the approved implementation plan strictly.</w:t>
      </w:r>
    </w:p>
    <w:p>
      <w:pPr>
        <w:spacing w:before="20" w:after="20"/>
      </w:pPr>
      <w:r>
        <w:rPr>
          <w:sz w:val="20"/>
        </w:rPr>
        <w:t>3.  Any deviation during implementation must be immediately communicated to the Change Manager.</w:t>
      </w:r>
    </w:p>
    <w:p>
      <w:pPr>
        <w:spacing w:before="160" w:after="60"/>
      </w:pPr>
      <w:r>
        <w:rPr>
          <w:b/>
          <w:color w:val="3A7CA5"/>
          <w:sz w:val="26"/>
        </w:rPr>
        <w:t>5.5 Post-Implementation Review (PIR)</w:t>
      </w:r>
    </w:p>
    <w:p>
      <w:pPr>
        <w:spacing w:before="20" w:after="20"/>
      </w:pPr>
      <w:r>
        <w:rPr>
          <w:sz w:val="20"/>
        </w:rPr>
        <w:t xml:space="preserve">1.  </w:t>
      </w:r>
      <w:r>
        <w:rPr>
          <w:b/>
          <w:sz w:val="20"/>
        </w:rPr>
        <w:t>Mandatory PIR</w:t>
      </w:r>
      <w:r>
        <w:rPr>
          <w:sz w:val="20"/>
        </w:rPr>
        <w:t xml:space="preserve"> shall be conducted for all Normal, Major, and Emergency changes.</w:t>
      </w:r>
    </w:p>
    <w:p>
      <w:pPr>
        <w:spacing w:before="20" w:after="20"/>
      </w:pPr>
      <w:r>
        <w:rPr>
          <w:sz w:val="20"/>
        </w:rPr>
        <w:t>2.  PIR shall be conducted within: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Normal changes: 7 days post-implementation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Major changes: 14 days post-implementation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Emergency changes: 7 days post-implementation (mandatory – see Section 6)</w:t>
      </w:r>
    </w:p>
    <w:p>
      <w:pPr>
        <w:spacing w:before="20" w:after="20"/>
      </w:pPr>
      <w:r>
        <w:rPr>
          <w:sz w:val="20"/>
        </w:rPr>
        <w:t>3.  PIR shall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Was the change implemented as planned?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Was the change successful?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Were there any unexpected issues or incidents?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Were the rollback procedures effective?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Were the test results accurate?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What lessons were learned?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Recommendations for future changes</w:t>
      </w:r>
    </w:p>
    <w:p>
      <w:pPr>
        <w:spacing w:before="20" w:after="20"/>
      </w:pPr>
      <w:r>
        <w:rPr>
          <w:sz w:val="20"/>
        </w:rPr>
        <w:t>4.  PIR findings shall be documented in the change management tool and reviewed at the next CAB meeting.</w:t>
      </w:r>
    </w:p>
    <w:p>
      <w:pPr>
        <w:spacing w:before="200" w:after="80"/>
      </w:pPr>
      <w:r>
        <w:rPr>
          <w:b/>
          <w:color w:val="2C5F8A"/>
          <w:sz w:val="32"/>
        </w:rPr>
        <w:t>6. Emergency Change – Specific Requirements</w:t>
      </w:r>
    </w:p>
    <w:p>
      <w:pPr>
        <w:spacing w:before="160" w:after="60"/>
      </w:pPr>
      <w:r>
        <w:rPr>
          <w:b/>
          <w:color w:val="3A7CA5"/>
          <w:sz w:val="26"/>
        </w:rPr>
        <w:t>6.1 Initiation</w:t>
      </w:r>
    </w:p>
    <w:p>
      <w:pPr>
        <w:spacing w:before="20" w:after="20"/>
      </w:pPr>
      <w:r>
        <w:rPr>
          <w:sz w:val="20"/>
        </w:rPr>
        <w:t>1.  An emergency change may be initiated by any authorized requester when a critical incident or security vulnerability requires immediate remediation.</w:t>
      </w:r>
    </w:p>
    <w:p>
      <w:pPr>
        <w:spacing w:before="20" w:after="20"/>
      </w:pPr>
      <w:r>
        <w:rPr>
          <w:sz w:val="20"/>
        </w:rPr>
        <w:t>2.  The RFC must be marked as "Emergency" and include justification for emergency handling.</w:t>
      </w:r>
    </w:p>
    <w:p>
      <w:pPr>
        <w:spacing w:before="20" w:after="20"/>
      </w:pPr>
      <w:r>
        <w:rPr>
          <w:sz w:val="20"/>
        </w:rPr>
        <w:t>3.  The Change Manager and CAB Chair shall be notified immediately.</w:t>
      </w:r>
    </w:p>
    <w:p>
      <w:pPr>
        <w:spacing w:before="160" w:after="60"/>
      </w:pPr>
      <w:r>
        <w:rPr>
          <w:b/>
          <w:color w:val="3A7CA5"/>
          <w:sz w:val="26"/>
        </w:rPr>
        <w:t>6.2 Emergency CAB (ECAB)</w:t>
      </w:r>
    </w:p>
    <w:p>
      <w:pPr>
        <w:spacing w:before="20" w:after="20"/>
      </w:pPr>
      <w:r>
        <w:rPr>
          <w:sz w:val="20"/>
        </w:rPr>
        <w:t>1.  The CAB Chair shall convene an Emergency CAB meeting within 4 hours of notification.</w:t>
      </w:r>
    </w:p>
    <w:p>
      <w:pPr>
        <w:spacing w:before="20" w:after="20"/>
      </w:pPr>
      <w:r>
        <w:rPr>
          <w:sz w:val="20"/>
        </w:rPr>
        <w:t>2.  ECAB may be conducted virtually with minimum 3 members (CAB Chair + CISO + relevant technical lead).</w:t>
      </w:r>
    </w:p>
    <w:p>
      <w:pPr>
        <w:spacing w:before="20" w:after="20"/>
      </w:pPr>
      <w:r>
        <w:rPr>
          <w:sz w:val="20"/>
        </w:rPr>
        <w:t>3.  ECAB shall assess: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Urgency and impact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Risk of implementing vs. risk of not implementing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Compensating controls if full testing is not possible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Rollback plan adequacy</w:t>
      </w:r>
    </w:p>
    <w:p>
      <w:pPr>
        <w:spacing w:before="160" w:after="60"/>
      </w:pPr>
      <w:r>
        <w:rPr>
          <w:b/>
          <w:color w:val="3A7CA5"/>
          <w:sz w:val="26"/>
        </w:rPr>
        <w:t>6.3 Implementation</w:t>
      </w:r>
    </w:p>
    <w:p>
      <w:pPr>
        <w:spacing w:before="20" w:after="20"/>
      </w:pPr>
      <w:r>
        <w:rPr>
          <w:sz w:val="20"/>
        </w:rPr>
        <w:t>1.  Emergency changes shall be implemented by authorized personnel only.</w:t>
      </w:r>
    </w:p>
    <w:p>
      <w:pPr>
        <w:spacing w:before="20" w:after="20"/>
      </w:pPr>
      <w:r>
        <w:rPr>
          <w:sz w:val="20"/>
        </w:rPr>
        <w:t>2.  Communication shall be sent to all stakeholders before and after implementation.</w:t>
      </w:r>
    </w:p>
    <w:p>
      <w:pPr>
        <w:spacing w:before="20" w:after="20"/>
      </w:pPr>
      <w:r>
        <w:rPr>
          <w:sz w:val="20"/>
        </w:rPr>
        <w:t>3.  Ticketing shall be created within the change management tool (retrospective if system is unavailable).</w:t>
      </w:r>
    </w:p>
    <w:p>
      <w:pPr>
        <w:spacing w:before="160" w:after="60"/>
      </w:pPr>
      <w:r>
        <w:rPr>
          <w:b/>
          <w:color w:val="3A7CA5"/>
          <w:sz w:val="26"/>
        </w:rPr>
        <w:t>6.4 Mandatory Post-Implementation Review</w:t>
      </w:r>
    </w:p>
    <w:p>
      <w:pPr>
        <w:spacing w:before="20" w:after="20"/>
      </w:pPr>
      <w:r>
        <w:rPr>
          <w:sz w:val="20"/>
        </w:rPr>
        <w:t xml:space="preserve">1.  </w:t>
      </w:r>
      <w:r>
        <w:rPr>
          <w:b/>
          <w:sz w:val="20"/>
        </w:rPr>
        <w:t>All emergency changes MUST undergo a Post-Implementation Review (PIR) within 7 calendar days</w:t>
      </w:r>
      <w:r>
        <w:rPr>
          <w:sz w:val="20"/>
        </w:rPr>
        <w:t xml:space="preserve"> of implementation.</w:t>
      </w:r>
    </w:p>
    <w:p>
      <w:pPr>
        <w:spacing w:before="20" w:after="20"/>
      </w:pPr>
      <w:r>
        <w:rPr>
          <w:sz w:val="20"/>
        </w:rPr>
        <w:t>2.  The PIR shall be documented in the Emergency Change PIR Template (Appendix A).</w:t>
      </w:r>
    </w:p>
    <w:p>
      <w:pPr>
        <w:spacing w:before="20" w:after="20"/>
      </w:pPr>
      <w:r>
        <w:rPr>
          <w:sz w:val="20"/>
        </w:rPr>
        <w:t xml:space="preserve">3.  </w:t>
      </w:r>
      <w:r>
        <w:rPr>
          <w:b/>
          <w:sz w:val="20"/>
        </w:rPr>
        <w:t>Failure to conduct PIR</w:t>
      </w:r>
      <w:r>
        <w:rPr>
          <w:sz w:val="20"/>
        </w:rPr>
        <w:t xml:space="preserve"> within 7 days shall be escalated to the CIO and CISO.</w:t>
      </w:r>
    </w:p>
    <w:p>
      <w:pPr>
        <w:spacing w:before="20" w:after="20"/>
      </w:pPr>
      <w:r>
        <w:rPr>
          <w:sz w:val="20"/>
        </w:rPr>
        <w:t>4.  PIR findings shall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Root cause analysis of the emergency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Effectiveness of the implemented change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Lessons learned and preventive measures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Plan to prevent recurrence</w:t>
      </w:r>
    </w:p>
    <w:p>
      <w:pPr>
        <w:spacing w:before="20" w:after="20"/>
      </w:pPr>
      <w:r>
        <w:rPr>
          <w:sz w:val="20"/>
        </w:rPr>
        <w:t xml:space="preserve">5.  Any emergency change without completed PIR within 7 days shall be treated as a </w:t>
      </w:r>
      <w:r>
        <w:rPr>
          <w:b/>
          <w:sz w:val="20"/>
        </w:rPr>
        <w:t>Non-Compliance Incident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7. Change Freeze Periods</w:t>
      </w:r>
    </w:p>
    <w:p>
      <w:pPr>
        <w:spacing w:before="20" w:after="20"/>
      </w:pPr>
      <w:r>
        <w:rPr>
          <w:sz w:val="20"/>
        </w:rPr>
        <w:t xml:space="preserve">1.  </w:t>
      </w:r>
      <w:r>
        <w:rPr>
          <w:b/>
          <w:sz w:val="20"/>
        </w:rPr>
        <w:t>Quarter-end freeze</w:t>
      </w:r>
      <w:r>
        <w:rPr>
          <w:sz w:val="20"/>
        </w:rPr>
        <w:t>: Last 3 working days of every quarter – only emergency changes permitted.</w:t>
      </w:r>
    </w:p>
    <w:p>
      <w:pPr>
        <w:spacing w:before="20" w:after="20"/>
      </w:pPr>
      <w:r>
        <w:rPr>
          <w:sz w:val="20"/>
        </w:rPr>
        <w:t xml:space="preserve">2.  </w:t>
      </w:r>
      <w:r>
        <w:rPr>
          <w:b/>
          <w:sz w:val="20"/>
        </w:rPr>
        <w:t>Financial year-end freeze</w:t>
      </w:r>
      <w:r>
        <w:rPr>
          <w:sz w:val="20"/>
        </w:rPr>
        <w:t>: 15-Mar to 15-Apr – only emergency changes with CISO + CIO approval.</w:t>
      </w:r>
    </w:p>
    <w:p>
      <w:pPr>
        <w:spacing w:before="20" w:after="20"/>
      </w:pPr>
      <w:r>
        <w:rPr>
          <w:sz w:val="20"/>
        </w:rPr>
        <w:t xml:space="preserve">3.  </w:t>
      </w:r>
      <w:r>
        <w:rPr>
          <w:b/>
          <w:sz w:val="20"/>
        </w:rPr>
        <w:t>Regulatory audit freeze</w:t>
      </w:r>
      <w:r>
        <w:rPr>
          <w:sz w:val="20"/>
        </w:rPr>
        <w:t>: During RBI / statutory audits – all changes require prior approval from Compliance Officer.</w:t>
      </w:r>
    </w:p>
    <w:p>
      <w:pPr>
        <w:spacing w:before="200" w:after="80"/>
      </w:pPr>
      <w:r>
        <w:rPr>
          <w:b/>
          <w:color w:val="2C5F8A"/>
          <w:sz w:val="32"/>
        </w:rPr>
        <w:t>8.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**Responsibility**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Officer (CIO)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ownership, final escalation authority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IT Operations (CAB Chair)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facilitation, emergency change approval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Manager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RFC processing, CAB scheduling, PIR tracking, reporting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RFC Initiator / Change Owner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Submitting RFC, implementation, PIR completion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Members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assessment, risk evaluation, approval decisions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impact assessment, emergency change co-approval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Periodic audit of change management process compliance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9. Reporting and Metrics</w:t>
      </w:r>
    </w:p>
    <w:p>
      <w:pPr>
        <w:spacing w:before="20" w:after="20"/>
      </w:pPr>
      <w:r>
        <w:rPr>
          <w:sz w:val="20"/>
        </w:rPr>
        <w:t>The following metrics shall be reported monthly to the IT Steering Committee: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**Metric**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**Target**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Changes successfully implemented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&gt;= 98%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changes as percentage of total changes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&lt;= 10%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changes with PIR completed within 7 days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Changes failed / backed out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&lt;= 2%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Changes without proper RFC documentation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0%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Average CAB approval turnaround time (Normal)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&lt;= 5 days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Average emergency change implementation 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&lt;= 24 hours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10. Tools and Systems</w:t>
      </w:r>
    </w:p>
    <w:p>
      <w:pPr>
        <w:spacing w:before="20" w:after="20"/>
      </w:pPr>
      <w:r>
        <w:rPr>
          <w:sz w:val="20"/>
        </w:rPr>
        <w:t xml:space="preserve">1.  </w:t>
      </w:r>
      <w:r>
        <w:rPr>
          <w:b/>
          <w:sz w:val="20"/>
        </w:rPr>
        <w:t>ServiceNow</w:t>
      </w:r>
      <w:r>
        <w:rPr>
          <w:sz w:val="20"/>
        </w:rPr>
        <w:t xml:space="preserve"> shall be used as the enterprise change management tool.</w:t>
      </w:r>
    </w:p>
    <w:p>
      <w:pPr>
        <w:spacing w:before="20" w:after="20"/>
      </w:pPr>
      <w:r>
        <w:rPr>
          <w:sz w:val="20"/>
        </w:rPr>
        <w:t>2.  All changes must be logged, tracked, and reported through ServiceNow.</w:t>
      </w:r>
    </w:p>
    <w:p>
      <w:pPr>
        <w:spacing w:before="20" w:after="20"/>
      </w:pPr>
      <w:r>
        <w:rPr>
          <w:sz w:val="20"/>
        </w:rPr>
        <w:t>3.  Integration with monitoring tools (Splunk, Zabbix) shall be configured for automated change detection.</w:t>
      </w:r>
    </w:p>
    <w:p>
      <w:pPr>
        <w:spacing w:before="200" w:after="80"/>
      </w:pPr>
      <w:r>
        <w:rPr>
          <w:b/>
          <w:color w:val="2C5F8A"/>
          <w:sz w:val="32"/>
        </w:rPr>
        <w:t>11. Compliance and Audit</w:t>
      </w:r>
    </w:p>
    <w:p>
      <w:pPr>
        <w:spacing w:before="20" w:after="20"/>
      </w:pPr>
      <w:r>
        <w:rPr>
          <w:sz w:val="20"/>
        </w:rPr>
        <w:t>1.  Quarterly internal audits shall verify compliance with this policy.</w:t>
      </w:r>
    </w:p>
    <w:p>
      <w:pPr>
        <w:spacing w:before="20" w:after="20"/>
      </w:pPr>
      <w:r>
        <w:rPr>
          <w:sz w:val="20"/>
        </w:rPr>
        <w:t>2.  Non-compliance shall result in: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First instance: Written warning to the Change Owner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Second instance: Escalation to HoD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Third instance: Escalation to CIO with mandatory retraining</w:t>
      </w:r>
    </w:p>
    <w:p>
      <w:pPr>
        <w:spacing w:before="20" w:after="20"/>
      </w:pPr>
      <w:r>
        <w:rPr>
          <w:sz w:val="20"/>
        </w:rPr>
        <w:t>3.  Persistent non-compliance may result in disciplinary action.</w:t>
      </w:r>
    </w:p>
    <w:p>
      <w:pPr>
        <w:spacing w:before="200" w:after="80"/>
      </w:pPr>
      <w:r>
        <w:rPr>
          <w:b/>
          <w:color w:val="2C5F8A"/>
          <w:sz w:val="32"/>
        </w:rPr>
        <w:t>12.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**Document**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**Reference**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 Management Policy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DI-07-01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 Inventory Register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DI-07-02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Change Register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DI-07-04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Incident Management Policy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BMBL-IMP-2026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Release Management Policy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BMBL-RMP-2026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Configuration Management Policy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BMBL-CMP-2026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13. Appendix A: Emergency Change PIR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**Field**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**Value**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RFC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Change Title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Date of Implementation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Date of PIR (Must be within 7 days)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Was the change successful?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/ No (If No, explain)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Were there any incidents post-change?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/ No (If Yes, provide incident ID)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Root Cause of Emergency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Was the rollback plan used?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/ No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Effectiveness of the change (1-5)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Lessons Learned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Preventive Actions to Avoid Recurrence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By (CISO / CAB Chair)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14.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**Author**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 of Change**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2.0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Enhanced emergency change section, mandatory PIR requirement, added metrics, governance structure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15.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**Name**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**Signature**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[CIO 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[CISO Name]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IT Operations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[Ops Head 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</w:tbl>
    <w:p/>
    <w:p>
      <w:pPr>
        <w:spacing w:before="20" w:after="20"/>
      </w:pPr>
      <w:r>
        <w:rPr>
          <w:sz w:val="20"/>
        </w:rPr>
        <w:t>*End of Document*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