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b/>
          <w:color w:val="1B3A5C"/>
          <w:sz w:val="40"/>
        </w:rPr>
        <w:t>Bharat Mercantile Bank Limited</w:t>
      </w:r>
    </w:p>
    <w:p>
      <w:pPr>
        <w:spacing w:before="200" w:after="80"/>
      </w:pPr>
      <w:r>
        <w:rPr>
          <w:b/>
          <w:color w:val="2C5F8A"/>
          <w:sz w:val="32"/>
        </w:rPr>
        <w:t>Privileged Access Management (PAM) Policy</w:t>
      </w:r>
    </w:p>
    <w:p>
      <w:pPr>
        <w:spacing w:before="20" w:after="20"/>
      </w:pPr>
      <w:r>
        <w:rPr>
          <w:b/>
          <w:sz w:val="20"/>
        </w:rPr>
        <w:t>Document Reference:</w:t>
      </w:r>
      <w:r>
        <w:rPr>
          <w:sz w:val="20"/>
        </w:rPr>
        <w:t xml:space="preserve"> DI-08-01</w:t>
      </w:r>
    </w:p>
    <w:p>
      <w:pPr>
        <w:spacing w:before="20" w:after="20"/>
      </w:pPr>
      <w:r>
        <w:rPr>
          <w:b/>
          <w:sz w:val="20"/>
        </w:rPr>
        <w:t>Version:</w:t>
      </w:r>
      <w:r>
        <w:rPr>
          <w:sz w:val="20"/>
        </w:rPr>
        <w:t xml:space="preserve"> 1.0</w:t>
      </w:r>
    </w:p>
    <w:p>
      <w:pPr>
        <w:spacing w:before="20" w:after="20"/>
      </w:pPr>
      <w:r>
        <w:rPr>
          <w:b/>
          <w:sz w:val="20"/>
        </w:rPr>
        <w:t>Effective Date:</w:t>
      </w:r>
      <w:r>
        <w:rPr>
          <w:sz w:val="20"/>
        </w:rPr>
        <w:t xml:space="preserve"> 01-June-2026</w:t>
      </w:r>
    </w:p>
    <w:p>
      <w:pPr>
        <w:spacing w:before="20" w:after="20"/>
      </w:pPr>
      <w:r>
        <w:rPr>
          <w:b/>
          <w:sz w:val="20"/>
        </w:rPr>
        <w:t>Classification:</w:t>
      </w:r>
      <w:r>
        <w:rPr>
          <w:sz w:val="20"/>
        </w:rPr>
        <w:t xml:space="preserve"> Confidential</w:t>
      </w:r>
    </w:p>
    <w:p>
      <w:pPr>
        <w:spacing w:before="20" w:after="20"/>
      </w:pPr>
      <w:r>
        <w:rPr>
          <w:b/>
          <w:sz w:val="20"/>
        </w:rPr>
        <w:t>Owner:</w:t>
      </w:r>
      <w:r>
        <w:rPr>
          <w:sz w:val="20"/>
        </w:rPr>
        <w:t xml:space="preserve"> Chief Information Security Officer (CISO)</w:t>
      </w:r>
    </w:p>
    <w:p>
      <w:pPr>
        <w:spacing w:before="160" w:after="60"/>
      </w:pPr>
      <w:r>
        <w:rPr>
          <w:b/>
          <w:color w:val="3A7CA5"/>
          <w:sz w:val="26"/>
        </w:rPr>
        <w:t>1. Purpose</w:t>
      </w:r>
    </w:p>
    <w:p>
      <w:pPr>
        <w:spacing w:before="20" w:after="20"/>
      </w:pPr>
      <w:r>
        <w:rPr>
          <w:sz w:val="20"/>
        </w:rPr>
        <w:t>The purpose of this Privileged Access Management (PAM) Policy is to establish a comprehensive framework for the management, control, and monitoring of privileged access to Bharat Mercantile Bank Limited's critical information systems, infrastructure, and data assets. This policy directly addresses the Reserve Bank of India's (RBI) cybersecurity guidelines and the bank's commitment to maintaining the highest standards of information security.</w:t>
      </w:r>
    </w:p>
    <w:p>
      <w:pPr>
        <w:spacing w:before="160" w:after="60"/>
      </w:pPr>
      <w:r>
        <w:rPr>
          <w:b/>
          <w:color w:val="3A7CA5"/>
          <w:sz w:val="26"/>
        </w:rPr>
        <w:t>2. Scope</w:t>
      </w:r>
    </w:p>
    <w:p>
      <w:pPr>
        <w:spacing w:before="20" w:after="20"/>
      </w:pPr>
      <w:r>
        <w:rPr>
          <w:sz w:val="20"/>
        </w:rPr>
        <w:t>This policy applies to:</w:t>
      </w:r>
    </w:p>
    <w:p>
      <w:pPr>
        <w:spacing w:before="20" w:after="20"/>
        <w:ind w:left="567"/>
      </w:pPr>
      <w:r>
        <w:rPr>
          <w:sz w:val="20"/>
        </w:rPr>
        <w:t xml:space="preserve">  </w:t>
      </w:r>
      <w:r>
        <w:rPr>
          <w:sz w:val="20"/>
        </w:rPr>
        <w:t>All employees, contractors, vendors, and third-party service providers who require privileged access to any bank system</w:t>
      </w:r>
    </w:p>
    <w:p>
      <w:pPr>
        <w:spacing w:before="20" w:after="20"/>
        <w:ind w:left="567"/>
      </w:pPr>
      <w:r>
        <w:rPr>
          <w:sz w:val="20"/>
        </w:rPr>
        <w:t xml:space="preserve">  </w:t>
      </w:r>
      <w:r>
        <w:rPr>
          <w:sz w:val="20"/>
        </w:rPr>
        <w:t>All information systems including servers (physical and virtual), network devices, security appliances, databases, applications, cloud environments, and endpoint devices</w:t>
      </w:r>
    </w:p>
    <w:p>
      <w:pPr>
        <w:spacing w:before="20" w:after="20"/>
        <w:ind w:left="567"/>
      </w:pPr>
      <w:r>
        <w:rPr>
          <w:sz w:val="20"/>
        </w:rPr>
        <w:t xml:space="preserve">  </w:t>
      </w:r>
      <w:r>
        <w:rPr>
          <w:sz w:val="20"/>
        </w:rPr>
        <w:t>All environments including production, disaster recovery, development, test, and staging</w:t>
      </w:r>
    </w:p>
    <w:p>
      <w:pPr>
        <w:spacing w:before="20" w:after="20"/>
        <w:ind w:left="567"/>
      </w:pPr>
      <w:r>
        <w:rPr>
          <w:sz w:val="20"/>
        </w:rPr>
        <w:t xml:space="preserve">  </w:t>
      </w:r>
      <w:r>
        <w:rPr>
          <w:sz w:val="20"/>
        </w:rPr>
        <w:t>All data centers, branch offices, and remote access points</w:t>
      </w:r>
    </w:p>
    <w:p>
      <w:pPr>
        <w:spacing w:before="160" w:after="60"/>
      </w:pPr>
      <w:r>
        <w:rPr>
          <w:b/>
          <w:color w:val="3A7CA5"/>
          <w:sz w:val="26"/>
        </w:rPr>
        <w:t>3. Policy Statements</w:t>
      </w:r>
    </w:p>
    <w:p>
      <w:pPr>
        <w:spacing w:before="120" w:after="40"/>
      </w:pPr>
      <w:r>
        <w:rPr>
          <w:b/>
          <w:color w:val="4A90B0"/>
          <w:sz w:val="22"/>
        </w:rPr>
        <w:t>3.1 Elimination of Shared Accounts</w:t>
      </w:r>
    </w:p>
    <w:p>
      <w:pPr>
        <w:spacing w:before="20" w:after="20"/>
      </w:pPr>
      <w:r>
        <w:rPr>
          <w:sz w:val="20"/>
        </w:rPr>
        <w:t>1. All shared administrative accounts on critical servers and systems shall be eliminated within 90 days of policy effective date.</w:t>
      </w:r>
    </w:p>
    <w:p>
      <w:pPr>
        <w:spacing w:before="20" w:after="20"/>
      </w:pPr>
      <w:r>
        <w:rPr>
          <w:sz w:val="20"/>
        </w:rPr>
        <w:t>2. Each system administrator shall be assigned a unique individual account for all privileged activities.</w:t>
      </w:r>
    </w:p>
    <w:p>
      <w:pPr>
        <w:spacing w:before="20" w:after="20"/>
      </w:pPr>
      <w:r>
        <w:rPr>
          <w:sz w:val="20"/>
        </w:rPr>
        <w:t>3. Generic accounts (e.g., root, administrator, admin, sa) shall not be shared among multiple users under any circumstances.</w:t>
      </w:r>
    </w:p>
    <w:p>
      <w:pPr>
        <w:spacing w:before="20" w:after="20"/>
      </w:pPr>
      <w:r>
        <w:rPr>
          <w:sz w:val="20"/>
        </w:rPr>
        <w:t>4. Where technical limitations prevent elimination of shared accounts, compensating controls approved by the CISO must be implemented, including session recording and real-time monitoring.</w:t>
      </w:r>
    </w:p>
    <w:p>
      <w:pPr>
        <w:spacing w:before="20" w:after="20"/>
      </w:pPr>
      <w:r>
        <w:rPr>
          <w:sz w:val="20"/>
        </w:rPr>
        <w:t>5. A shared account register shall be maintained and reviewed quarterly by the Information Security Group.</w:t>
      </w:r>
    </w:p>
    <w:p>
      <w:pPr>
        <w:spacing w:before="120" w:after="40"/>
      </w:pPr>
      <w:r>
        <w:rPr>
          <w:b/>
          <w:color w:val="4A90B0"/>
          <w:sz w:val="22"/>
        </w:rPr>
        <w:t>3.2 Privileged Access Management Solution</w:t>
      </w:r>
    </w:p>
    <w:p>
      <w:pPr>
        <w:spacing w:before="20" w:after="20"/>
      </w:pPr>
      <w:r>
        <w:rPr>
          <w:sz w:val="20"/>
        </w:rPr>
        <w:t>1. A PAM solution shall be deployed to manage, monitor, and record all privileged sessions across the bank's IT infrastructure.</w:t>
      </w:r>
    </w:p>
    <w:p>
      <w:pPr>
        <w:spacing w:before="20" w:after="20"/>
      </w:pPr>
      <w:r>
        <w:rPr>
          <w:sz w:val="20"/>
        </w:rPr>
        <w:t>2. All privileged credentials shall be stored in the PAM vault with automatic rotation.</w:t>
      </w:r>
    </w:p>
    <w:p>
      <w:pPr>
        <w:spacing w:before="20" w:after="20"/>
      </w:pPr>
      <w:r>
        <w:rPr>
          <w:sz w:val="20"/>
        </w:rPr>
        <w:t>3. Check-in/check-out mechanisms shall be enforced for all privileged accounts.</w:t>
      </w:r>
    </w:p>
    <w:p>
      <w:pPr>
        <w:spacing w:before="20" w:after="20"/>
      </w:pPr>
      <w:r>
        <w:rPr>
          <w:sz w:val="20"/>
        </w:rPr>
        <w:t>4. Session recording and keystroke logging shall be enabled for all privileged sessions on critical systems.</w:t>
      </w:r>
    </w:p>
    <w:p>
      <w:pPr>
        <w:spacing w:before="20" w:after="20"/>
      </w:pPr>
      <w:r>
        <w:rPr>
          <w:sz w:val="20"/>
        </w:rPr>
        <w:t>5. The PAM solution shall enforce just-in-time (JIT) privileged access and time-bound approvals.</w:t>
      </w:r>
    </w:p>
    <w:p>
      <w:pPr>
        <w:spacing w:before="120" w:after="40"/>
      </w:pPr>
      <w:r>
        <w:rPr>
          <w:b/>
          <w:color w:val="4A90B0"/>
          <w:sz w:val="22"/>
        </w:rPr>
        <w:t>3.3 System Integration Requirements</w:t>
      </w:r>
    </w:p>
    <w:p>
      <w:pPr>
        <w:spacing w:before="20" w:after="20"/>
      </w:pPr>
      <w:r>
        <w:rPr>
          <w:sz w:val="20"/>
        </w:rPr>
        <w:t>1. The PAM solution shall be integrated with the following systems:</w:t>
      </w:r>
    </w:p>
    <w:p>
      <w:pPr>
        <w:spacing w:before="20" w:after="20"/>
      </w:pPr>
      <w:r>
        <w:rPr>
          <w:sz w:val="20"/>
        </w:rPr>
        <w:t>a. Email Gateway: For approval workflows, notifications, and alerting on privileged access requests.</w:t>
      </w:r>
    </w:p>
    <w:p>
      <w:pPr>
        <w:spacing w:before="20" w:after="20"/>
      </w:pPr>
      <w:r>
        <w:rPr>
          <w:sz w:val="20"/>
        </w:rPr>
        <w:t>b. Data Loss Prevention (DLP) System: To monitor and prevent data exfiltration during privileged sessions.</w:t>
      </w:r>
    </w:p>
    <w:p>
      <w:pPr>
        <w:spacing w:before="20" w:after="20"/>
      </w:pPr>
      <w:r>
        <w:rPr>
          <w:sz w:val="20"/>
        </w:rPr>
        <w:t>c. Security Information and Event Management (SIEM): For centralized logging and correlation of privileged access events.</w:t>
      </w:r>
    </w:p>
    <w:p>
      <w:pPr>
        <w:spacing w:before="20" w:after="20"/>
      </w:pPr>
      <w:r>
        <w:rPr>
          <w:sz w:val="20"/>
        </w:rPr>
        <w:t>d. Identity and Access Management (IAM): For lifecycle management of privileged accounts.</w:t>
      </w:r>
    </w:p>
    <w:p>
      <w:pPr>
        <w:spacing w:before="20" w:after="20"/>
      </w:pPr>
      <w:r>
        <w:rPr>
          <w:sz w:val="20"/>
        </w:rPr>
        <w:t>e. IT Service Management (ITSM): For ticketing and approval workflows.</w:t>
      </w:r>
    </w:p>
    <w:p>
      <w:pPr>
        <w:spacing w:before="20" w:after="20"/>
      </w:pPr>
      <w:r>
        <w:rPr>
          <w:sz w:val="20"/>
        </w:rPr>
        <w:t>f. Active Directory / LDAP: For authentication and directory services.</w:t>
      </w:r>
    </w:p>
    <w:p>
      <w:pPr>
        <w:spacing w:before="20" w:after="20"/>
      </w:pPr>
      <w:r>
        <w:rPr>
          <w:sz w:val="20"/>
        </w:rPr>
        <w:t>2. Integration with email gateway and DLP shall be completed within 60 days of policy effective date.</w:t>
      </w:r>
    </w:p>
    <w:p>
      <w:pPr>
        <w:spacing w:before="20" w:after="20"/>
      </w:pPr>
      <w:r>
        <w:rPr>
          <w:sz w:val="20"/>
        </w:rPr>
        <w:t>3. Monthly integration health checks shall be performed and documented.</w:t>
      </w:r>
    </w:p>
    <w:p>
      <w:pPr>
        <w:spacing w:before="120" w:after="40"/>
      </w:pPr>
      <w:r>
        <w:rPr>
          <w:b/>
          <w:color w:val="4A90B0"/>
          <w:sz w:val="22"/>
        </w:rPr>
        <w:t>3.4 Multi-Factor Authentication (MFA) for Administrative Users</w:t>
      </w:r>
    </w:p>
    <w:p>
      <w:pPr>
        <w:spacing w:before="20" w:after="20"/>
      </w:pPr>
      <w:r>
        <w:rPr>
          <w:sz w:val="20"/>
        </w:rPr>
        <w:t>1. MFA shall be enforced for all administrative users accessing critical systems and applications.</w:t>
      </w:r>
    </w:p>
    <w:p>
      <w:pPr>
        <w:spacing w:before="20" w:after="20"/>
      </w:pPr>
      <w:r>
        <w:rPr>
          <w:sz w:val="20"/>
        </w:rPr>
        <w:t>2. MFA mechanisms shall include at least two of the following factors:</w:t>
      </w:r>
    </w:p>
    <w:p>
      <w:pPr>
        <w:spacing w:before="20" w:after="20"/>
      </w:pPr>
      <w:r>
        <w:rPr>
          <w:sz w:val="20"/>
        </w:rPr>
        <w:t>a. Something the user knows (password/passphrase)</w:t>
      </w:r>
    </w:p>
    <w:p>
      <w:pPr>
        <w:spacing w:before="20" w:after="20"/>
      </w:pPr>
      <w:r>
        <w:rPr>
          <w:sz w:val="20"/>
        </w:rPr>
        <w:t>b. Something the user has (token, smart card, mobile device)</w:t>
      </w:r>
    </w:p>
    <w:p>
      <w:pPr>
        <w:spacing w:before="20" w:after="20"/>
      </w:pPr>
      <w:r>
        <w:rPr>
          <w:sz w:val="20"/>
        </w:rPr>
        <w:t>c. Something the user is (biometric)</w:t>
      </w:r>
    </w:p>
    <w:p>
      <w:pPr>
        <w:spacing w:before="20" w:after="20"/>
      </w:pPr>
      <w:r>
        <w:rPr>
          <w:sz w:val="20"/>
        </w:rPr>
        <w:t>3. MFA shall be implemented for:</w:t>
      </w:r>
    </w:p>
    <w:p>
      <w:pPr>
        <w:spacing w:before="20" w:after="20"/>
      </w:pPr>
      <w:r>
        <w:rPr>
          <w:sz w:val="20"/>
        </w:rPr>
        <w:t>a. All privileged access to production systems</w:t>
      </w:r>
    </w:p>
    <w:p>
      <w:pPr>
        <w:spacing w:before="20" w:after="20"/>
      </w:pPr>
      <w:r>
        <w:rPr>
          <w:sz w:val="20"/>
        </w:rPr>
        <w:t>b. Remote access to the bank's network</w:t>
      </w:r>
    </w:p>
    <w:p>
      <w:pPr>
        <w:spacing w:before="20" w:after="20"/>
      </w:pPr>
      <w:r>
        <w:rPr>
          <w:sz w:val="20"/>
        </w:rPr>
        <w:t>c. Access to the PAM solution itself</w:t>
      </w:r>
    </w:p>
    <w:p>
      <w:pPr>
        <w:spacing w:before="20" w:after="20"/>
      </w:pPr>
      <w:r>
        <w:rPr>
          <w:sz w:val="20"/>
        </w:rPr>
        <w:t>d. Access to cloud management consoles</w:t>
      </w:r>
    </w:p>
    <w:p>
      <w:pPr>
        <w:spacing w:before="20" w:after="20"/>
      </w:pPr>
      <w:r>
        <w:rPr>
          <w:sz w:val="20"/>
        </w:rPr>
        <w:t>e. Access to database administration interfaces</w:t>
      </w:r>
    </w:p>
    <w:p>
      <w:pPr>
        <w:spacing w:before="20" w:after="20"/>
      </w:pPr>
      <w:r>
        <w:rPr>
          <w:sz w:val="20"/>
        </w:rPr>
        <w:t>4. MFA enforcement shall be completed within 45 days of policy effective date.</w:t>
      </w:r>
    </w:p>
    <w:p>
      <w:pPr>
        <w:spacing w:before="20" w:after="20"/>
      </w:pPr>
      <w:r>
        <w:rPr>
          <w:sz w:val="20"/>
        </w:rPr>
        <w:t>5. Exceptions to MFA requirements must be documented and approved by the CISO with a defined remediation timeline.</w:t>
      </w:r>
    </w:p>
    <w:p>
      <w:pPr>
        <w:spacing w:before="120" w:after="40"/>
      </w:pPr>
      <w:r>
        <w:rPr>
          <w:b/>
          <w:color w:val="4A90B0"/>
          <w:sz w:val="22"/>
        </w:rPr>
        <w:t>3.5 Privileged Access Lifecycle Management</w:t>
      </w:r>
    </w:p>
    <w:p>
      <w:pPr>
        <w:spacing w:before="20" w:after="20"/>
      </w:pPr>
      <w:r>
        <w:rPr>
          <w:sz w:val="20"/>
        </w:rPr>
        <w:t>1. Privileged access shall be granted based on the principle of least privilege and need-to-know.</w:t>
      </w:r>
    </w:p>
    <w:p>
      <w:pPr>
        <w:spacing w:before="20" w:after="20"/>
      </w:pPr>
      <w:r>
        <w:rPr>
          <w:sz w:val="20"/>
        </w:rPr>
        <w:t>2. Access requests shall be approved by the system owner and the reporting manager.</w:t>
      </w:r>
    </w:p>
    <w:p>
      <w:pPr>
        <w:spacing w:before="20" w:after="20"/>
      </w:pPr>
      <w:r>
        <w:rPr>
          <w:sz w:val="20"/>
        </w:rPr>
        <w:t>3. Privileged access shall be reviewed quarterly by the application/system owner.</w:t>
      </w:r>
    </w:p>
    <w:p>
      <w:pPr>
        <w:spacing w:before="20" w:after="20"/>
      </w:pPr>
      <w:r>
        <w:rPr>
          <w:sz w:val="20"/>
        </w:rPr>
        <w:t>4. Upon employee termination or role change, privileged access shall be revoked within 4 hours.</w:t>
      </w:r>
    </w:p>
    <w:p>
      <w:pPr>
        <w:spacing w:before="20" w:after="20"/>
      </w:pPr>
      <w:r>
        <w:rPr>
          <w:sz w:val="20"/>
        </w:rPr>
        <w:t>5. A quarterly user access review shall be conducted for all privileged accounts.</w:t>
      </w:r>
    </w:p>
    <w:p>
      <w:pPr>
        <w:spacing w:before="120" w:after="40"/>
      </w:pPr>
      <w:r>
        <w:rPr>
          <w:b/>
          <w:color w:val="4A90B0"/>
          <w:sz w:val="22"/>
        </w:rPr>
        <w:t>3.6 Monitoring and Audit</w:t>
      </w:r>
    </w:p>
    <w:p>
      <w:pPr>
        <w:spacing w:before="20" w:after="20"/>
      </w:pPr>
      <w:r>
        <w:rPr>
          <w:sz w:val="20"/>
        </w:rPr>
        <w:t>1. All privileged sessions shall be recorded and retained for a minimum of 180 days.</w:t>
      </w:r>
    </w:p>
    <w:p>
      <w:pPr>
        <w:spacing w:before="20" w:after="20"/>
      </w:pPr>
      <w:r>
        <w:rPr>
          <w:sz w:val="20"/>
        </w:rPr>
        <w:t>2. Privileged access logs shall be monitored in real-time by the Security Operations Center (SOC).</w:t>
      </w:r>
    </w:p>
    <w:p>
      <w:pPr>
        <w:spacing w:before="20" w:after="20"/>
      </w:pPr>
      <w:r>
        <w:rPr>
          <w:sz w:val="20"/>
        </w:rPr>
        <w:t>3. Anomalous privileged activities shall trigger alerts and immediate investigation.</w:t>
      </w:r>
    </w:p>
    <w:p>
      <w:pPr>
        <w:spacing w:before="20" w:after="20"/>
      </w:pPr>
      <w:r>
        <w:rPr>
          <w:sz w:val="20"/>
        </w:rPr>
        <w:t>4. Quarterly audits of PAM controls shall be conducted by Internal Audit.</w:t>
      </w:r>
    </w:p>
    <w:p>
      <w:pPr>
        <w:spacing w:before="20" w:after="20"/>
      </w:pPr>
      <w:r>
        <w:rPr>
          <w:sz w:val="20"/>
        </w:rPr>
        <w:t>5. Annual penetration testing of PAM implementation shall be performed by an independent third party.</w:t>
      </w:r>
    </w:p>
    <w:p>
      <w:pPr>
        <w:spacing w:before="160" w:after="60"/>
      </w:pPr>
      <w:r>
        <w:rPr>
          <w:b/>
          <w:color w:val="3A7CA5"/>
          <w:sz w:val="26"/>
        </w:rPr>
        <w:t>4. Roles and Responsibilities</w:t>
      </w:r>
    </w:p>
    <w:tbl>
      <w:tblPr>
        <w:tblStyle w:val="TableGrid"/>
        <w:tblW w:type="auto" w:w="0"/>
        <w:jc w:val="center"/>
        <w:tblLook w:firstColumn="1" w:firstRow="1" w:lastColumn="0" w:lastRow="0" w:noHBand="0" w:noVBand="1" w:val="04A0"/>
      </w:tblPr>
      <w:tblGrid>
        <w:gridCol w:w="4703"/>
        <w:gridCol w:w="4703"/>
      </w:tblGrid>
      <w:tr>
        <w:tc>
          <w:tcPr>
            <w:tcW w:type="dxa" w:w="4703"/>
            <w:shd w:fill="1B3A5C"/>
          </w:tcPr>
          <w:p>
            <w:pPr>
              <w:spacing w:before="40" w:after="40"/>
            </w:pPr>
            <w:r>
              <w:rPr>
                <w:b/>
                <w:color w:val="FFFFFF"/>
                <w:sz w:val="20"/>
              </w:rPr>
            </w:r>
            <w:r>
              <w:rPr>
                <w:b/>
                <w:color w:val="FFFFFF"/>
                <w:sz w:val="20"/>
              </w:rPr>
              <w:t>Role</w:t>
            </w:r>
          </w:p>
        </w:tc>
        <w:tc>
          <w:tcPr>
            <w:tcW w:type="dxa" w:w="4703"/>
            <w:shd w:fill="1B3A5C"/>
          </w:tcPr>
          <w:p>
            <w:pPr>
              <w:spacing w:before="40" w:after="40"/>
            </w:pPr>
            <w:r>
              <w:rPr>
                <w:b/>
                <w:color w:val="FFFFFF"/>
                <w:sz w:val="20"/>
              </w:rPr>
            </w:r>
            <w:r>
              <w:rPr>
                <w:b/>
                <w:color w:val="FFFFFF"/>
                <w:sz w:val="20"/>
              </w:rPr>
              <w:t>Responsibility</w:t>
            </w:r>
          </w:p>
        </w:tc>
      </w:tr>
      <w:tr>
        <w:tc>
          <w:tcPr>
            <w:tcW w:type="dxa" w:w="4703"/>
          </w:tcPr>
          <w:p>
            <w:pPr>
              <w:spacing w:before="40" w:after="40"/>
            </w:pPr>
            <w:r>
              <w:rPr>
                <w:sz w:val="20"/>
              </w:rPr>
            </w:r>
            <w:r>
              <w:rPr>
                <w:sz w:val="20"/>
              </w:rPr>
              <w:t>CISO</w:t>
            </w:r>
          </w:p>
        </w:tc>
        <w:tc>
          <w:tcPr>
            <w:tcW w:type="dxa" w:w="4703"/>
          </w:tcPr>
          <w:p>
            <w:pPr>
              <w:spacing w:before="40" w:after="40"/>
            </w:pPr>
            <w:r>
              <w:rPr>
                <w:sz w:val="20"/>
              </w:rPr>
            </w:r>
            <w:r>
              <w:rPr>
                <w:sz w:val="20"/>
              </w:rPr>
              <w:t>Overall ownership of PAM policy and compliance</w:t>
            </w:r>
          </w:p>
        </w:tc>
      </w:tr>
      <w:tr>
        <w:tc>
          <w:tcPr>
            <w:tcW w:type="dxa" w:w="4703"/>
            <w:shd w:fill="F2F7FB"/>
          </w:tcPr>
          <w:p>
            <w:pPr>
              <w:spacing w:before="40" w:after="40"/>
            </w:pPr>
            <w:r>
              <w:rPr>
                <w:sz w:val="20"/>
              </w:rPr>
            </w:r>
            <w:r>
              <w:rPr>
                <w:sz w:val="20"/>
              </w:rPr>
              <w:t>Information Security Group</w:t>
            </w:r>
          </w:p>
        </w:tc>
        <w:tc>
          <w:tcPr>
            <w:tcW w:type="dxa" w:w="4703"/>
            <w:shd w:fill="F2F7FB"/>
          </w:tcPr>
          <w:p>
            <w:pPr>
              <w:spacing w:before="40" w:after="40"/>
            </w:pPr>
            <w:r>
              <w:rPr>
                <w:sz w:val="20"/>
              </w:rPr>
            </w:r>
            <w:r>
              <w:rPr>
                <w:sz w:val="20"/>
              </w:rPr>
              <w:t>Implementation and operational management of PAM</w:t>
            </w:r>
          </w:p>
        </w:tc>
      </w:tr>
      <w:tr>
        <w:tc>
          <w:tcPr>
            <w:tcW w:type="dxa" w:w="4703"/>
          </w:tcPr>
          <w:p>
            <w:pPr>
              <w:spacing w:before="40" w:after="40"/>
            </w:pPr>
            <w:r>
              <w:rPr>
                <w:sz w:val="20"/>
              </w:rPr>
            </w:r>
            <w:r>
              <w:rPr>
                <w:sz w:val="20"/>
              </w:rPr>
              <w:t>System Owners</w:t>
            </w:r>
          </w:p>
        </w:tc>
        <w:tc>
          <w:tcPr>
            <w:tcW w:type="dxa" w:w="4703"/>
          </w:tcPr>
          <w:p>
            <w:pPr>
              <w:spacing w:before="40" w:after="40"/>
            </w:pPr>
            <w:r>
              <w:rPr>
                <w:sz w:val="20"/>
              </w:rPr>
            </w:r>
            <w:r>
              <w:rPr>
                <w:sz w:val="20"/>
              </w:rPr>
              <w:t>Approval of privileged access requests</w:t>
            </w:r>
          </w:p>
        </w:tc>
      </w:tr>
      <w:tr>
        <w:tc>
          <w:tcPr>
            <w:tcW w:type="dxa" w:w="4703"/>
            <w:shd w:fill="F2F7FB"/>
          </w:tcPr>
          <w:p>
            <w:pPr>
              <w:spacing w:before="40" w:after="40"/>
            </w:pPr>
            <w:r>
              <w:rPr>
                <w:sz w:val="20"/>
              </w:rPr>
            </w:r>
            <w:r>
              <w:rPr>
                <w:sz w:val="20"/>
              </w:rPr>
              <w:t>Internal Audit</w:t>
            </w:r>
          </w:p>
        </w:tc>
        <w:tc>
          <w:tcPr>
            <w:tcW w:type="dxa" w:w="4703"/>
            <w:shd w:fill="F2F7FB"/>
          </w:tcPr>
          <w:p>
            <w:pPr>
              <w:spacing w:before="40" w:after="40"/>
            </w:pPr>
            <w:r>
              <w:rPr>
                <w:sz w:val="20"/>
              </w:rPr>
            </w:r>
            <w:r>
              <w:rPr>
                <w:sz w:val="20"/>
              </w:rPr>
              <w:t>Periodic audit of PAM controls</w:t>
            </w:r>
          </w:p>
        </w:tc>
      </w:tr>
      <w:tr>
        <w:tc>
          <w:tcPr>
            <w:tcW w:type="dxa" w:w="4703"/>
          </w:tcPr>
          <w:p>
            <w:pPr>
              <w:spacing w:before="40" w:after="40"/>
            </w:pPr>
            <w:r>
              <w:rPr>
                <w:sz w:val="20"/>
              </w:rPr>
            </w:r>
            <w:r>
              <w:rPr>
                <w:sz w:val="20"/>
              </w:rPr>
              <w:t>Human Resources</w:t>
            </w:r>
          </w:p>
        </w:tc>
        <w:tc>
          <w:tcPr>
            <w:tcW w:type="dxa" w:w="4703"/>
          </w:tcPr>
          <w:p>
            <w:pPr>
              <w:spacing w:before="40" w:after="40"/>
            </w:pPr>
            <w:r>
              <w:rPr>
                <w:sz w:val="20"/>
              </w:rPr>
            </w:r>
            <w:r>
              <w:rPr>
                <w:sz w:val="20"/>
              </w:rPr>
              <w:t>Timely notification of employee separations/transfers</w:t>
            </w:r>
          </w:p>
        </w:tc>
      </w:tr>
      <w:tr>
        <w:tc>
          <w:tcPr>
            <w:tcW w:type="dxa" w:w="4703"/>
            <w:shd w:fill="F2F7FB"/>
          </w:tcPr>
          <w:p>
            <w:pPr>
              <w:spacing w:before="40" w:after="40"/>
            </w:pPr>
            <w:r>
              <w:rPr>
                <w:sz w:val="20"/>
              </w:rPr>
            </w:r>
            <w:r>
              <w:rPr>
                <w:sz w:val="20"/>
              </w:rPr>
              <w:t>Technology Division</w:t>
            </w:r>
          </w:p>
        </w:tc>
        <w:tc>
          <w:tcPr>
            <w:tcW w:type="dxa" w:w="4703"/>
            <w:shd w:fill="F2F7FB"/>
          </w:tcPr>
          <w:p>
            <w:pPr>
              <w:spacing w:before="40" w:after="40"/>
            </w:pPr>
            <w:r>
              <w:rPr>
                <w:sz w:val="20"/>
              </w:rPr>
            </w:r>
            <w:r>
              <w:rPr>
                <w:sz w:val="20"/>
              </w:rPr>
              <w:t>Technical implementation and maintenance of PAM solution</w:t>
            </w:r>
          </w:p>
        </w:tc>
      </w:tr>
    </w:tbl>
    <w:p/>
    <w:p>
      <w:pPr>
        <w:spacing w:before="160" w:after="60"/>
      </w:pPr>
      <w:r>
        <w:rPr>
          <w:b/>
          <w:color w:val="3A7CA5"/>
          <w:sz w:val="26"/>
        </w:rPr>
        <w:t>5. Compliance and Non-Compliance</w:t>
      </w:r>
    </w:p>
    <w:p>
      <w:pPr>
        <w:spacing w:before="20" w:after="20"/>
      </w:pPr>
      <w:r>
        <w:rPr>
          <w:sz w:val="20"/>
        </w:rPr>
        <w:t>1. Non-compliance with this policy shall be reported to the CISO and appropriate action shall be taken up to and including disciplinary action.</w:t>
      </w:r>
    </w:p>
    <w:p>
      <w:pPr>
        <w:spacing w:before="20" w:after="20"/>
      </w:pPr>
      <w:r>
        <w:rPr>
          <w:sz w:val="20"/>
        </w:rPr>
        <w:t>2. Exceptions granted must be documented with a remediation plan and timeline.</w:t>
      </w:r>
    </w:p>
    <w:p>
      <w:pPr>
        <w:spacing w:before="20" w:after="20"/>
      </w:pPr>
      <w:r>
        <w:rPr>
          <w:sz w:val="20"/>
        </w:rPr>
        <w:t>3. Compliance status shall be reported to the IT Strategy Committee on a quarterly basis.</w:t>
      </w:r>
    </w:p>
    <w:p>
      <w:pPr>
        <w:spacing w:before="160" w:after="60"/>
      </w:pPr>
      <w:r>
        <w:rPr>
          <w:b/>
          <w:color w:val="3A7CA5"/>
          <w:sz w:val="26"/>
        </w:rPr>
        <w:t>6. Review and Maintenance</w:t>
      </w:r>
    </w:p>
    <w:p>
      <w:pPr>
        <w:spacing w:before="20" w:after="20"/>
      </w:pPr>
      <w:r>
        <w:rPr>
          <w:sz w:val="20"/>
        </w:rPr>
        <w:t>This policy shall be reviewed annually or upon significant changes to the regulatory environment, technology landscape, or organizational structure.</w:t>
      </w:r>
    </w:p>
    <w:p>
      <w:pPr>
        <w:spacing w:before="160" w:after="60"/>
      </w:pPr>
      <w:r>
        <w:rPr>
          <w:b/>
          <w:color w:val="3A7CA5"/>
          <w:sz w:val="26"/>
        </w:rPr>
        <w:t>7. Related Documents</w:t>
      </w:r>
    </w:p>
    <w:p>
      <w:pPr>
        <w:spacing w:before="20" w:after="20"/>
        <w:ind w:left="567"/>
      </w:pPr>
      <w:r>
        <w:rPr>
          <w:sz w:val="20"/>
        </w:rPr>
        <w:t xml:space="preserve">  </w:t>
      </w:r>
      <w:r>
        <w:rPr>
          <w:sz w:val="20"/>
        </w:rPr>
        <w:t>User Access Review Procedure (DI-08-03)</w:t>
      </w:r>
    </w:p>
    <w:p>
      <w:pPr>
        <w:spacing w:before="20" w:after="20"/>
        <w:ind w:left="567"/>
      </w:pPr>
      <w:r>
        <w:rPr>
          <w:sz w:val="20"/>
        </w:rPr>
        <w:t xml:space="preserve">  </w:t>
      </w:r>
      <w:r>
        <w:rPr>
          <w:sz w:val="20"/>
        </w:rPr>
        <w:t>PAM Integration Status Report (DI-08-05)</w:t>
      </w:r>
    </w:p>
    <w:p>
      <w:pPr>
        <w:spacing w:before="20" w:after="20"/>
        <w:ind w:left="567"/>
      </w:pPr>
      <w:r>
        <w:rPr>
          <w:sz w:val="20"/>
        </w:rPr>
        <w:t xml:space="preserve">  </w:t>
      </w:r>
      <w:r>
        <w:rPr>
          <w:sz w:val="20"/>
        </w:rPr>
        <w:t>Information Security Policy</w:t>
      </w:r>
    </w:p>
    <w:p>
      <w:pPr>
        <w:spacing w:before="20" w:after="20"/>
        <w:ind w:left="567"/>
      </w:pPr>
      <w:r>
        <w:rPr>
          <w:sz w:val="20"/>
        </w:rPr>
        <w:t xml:space="preserve">  </w:t>
      </w:r>
      <w:r>
        <w:rPr>
          <w:sz w:val="20"/>
        </w:rPr>
        <w:t>Identity and Access Management Policy</w:t>
      </w:r>
    </w:p>
    <w:p>
      <w:pPr>
        <w:spacing w:before="20" w:after="20"/>
        <w:ind w:left="567"/>
      </w:pPr>
      <w:r>
        <w:rPr>
          <w:sz w:val="20"/>
        </w:rPr>
        <w:t xml:space="preserve">  </w:t>
      </w:r>
      <w:r>
        <w:rPr>
          <w:sz w:val="20"/>
        </w:rPr>
        <w:t>Vendor Management Policy (DI-09-01)</w:t>
      </w:r>
    </w:p>
    <w:p>
      <w:pPr>
        <w:spacing w:before="160" w:after="60"/>
      </w:pPr>
      <w:r>
        <w:rPr>
          <w:b/>
          <w:color w:val="3A7CA5"/>
          <w:sz w:val="26"/>
        </w:rPr>
        <w:t>8. Document Control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tcPr>
          <w:p>
            <w:pPr>
              <w:spacing w:before="40" w:after="40"/>
            </w:pPr>
            <w:r>
              <w:rPr>
                <w:b/>
                <w:color w:val="FFFFFF"/>
                <w:sz w:val="20"/>
              </w:rPr>
            </w:r>
            <w:r>
              <w:rPr>
                <w:b/>
                <w:color w:val="FFFFFF"/>
                <w:sz w:val="20"/>
              </w:rPr>
              <w:t>Version</w:t>
            </w:r>
          </w:p>
        </w:tc>
        <w:tc>
          <w:tcPr>
            <w:tcW w:type="dxa" w:w="2351"/>
            <w:shd w:fill="1B3A5C"/>
          </w:tcPr>
          <w:p>
            <w:pPr>
              <w:spacing w:before="40" w:after="40"/>
            </w:pPr>
            <w:r>
              <w:rPr>
                <w:b/>
                <w:color w:val="FFFFFF"/>
                <w:sz w:val="20"/>
              </w:rPr>
            </w:r>
            <w:r>
              <w:rPr>
                <w:b/>
                <w:color w:val="FFFFFF"/>
                <w:sz w:val="20"/>
              </w:rPr>
              <w:t>Date</w:t>
            </w:r>
          </w:p>
        </w:tc>
        <w:tc>
          <w:tcPr>
            <w:tcW w:type="dxa" w:w="2351"/>
            <w:shd w:fill="1B3A5C"/>
          </w:tcPr>
          <w:p>
            <w:pPr>
              <w:spacing w:before="40" w:after="40"/>
            </w:pPr>
            <w:r>
              <w:rPr>
                <w:b/>
                <w:color w:val="FFFFFF"/>
                <w:sz w:val="20"/>
              </w:rPr>
            </w:r>
            <w:r>
              <w:rPr>
                <w:b/>
                <w:color w:val="FFFFFF"/>
                <w:sz w:val="20"/>
              </w:rPr>
              <w:t>Author</w:t>
            </w:r>
          </w:p>
        </w:tc>
        <w:tc>
          <w:tcPr>
            <w:tcW w:type="dxa" w:w="2351"/>
            <w:shd w:fill="1B3A5C"/>
          </w:tcPr>
          <w:p>
            <w:pPr>
              <w:spacing w:before="40" w:after="40"/>
            </w:pPr>
            <w:r>
              <w:rPr>
                <w:b/>
                <w:color w:val="FFFFFF"/>
                <w:sz w:val="20"/>
              </w:rPr>
            </w:r>
            <w:r>
              <w:rPr>
                <w:b/>
                <w:color w:val="FFFFFF"/>
                <w:sz w:val="20"/>
              </w:rPr>
              <w:t>Change Description</w:t>
            </w:r>
          </w:p>
        </w:tc>
      </w:tr>
      <w:tr>
        <w:tc>
          <w:tcPr>
            <w:tcW w:type="dxa" w:w="2351"/>
          </w:tcPr>
          <w:p>
            <w:pPr>
              <w:spacing w:before="40" w:after="40"/>
            </w:pPr>
            <w:r>
              <w:rPr>
                <w:sz w:val="20"/>
              </w:rPr>
            </w:r>
            <w:r>
              <w:rPr>
                <w:sz w:val="20"/>
              </w:rPr>
              <w:t>1.0</w:t>
            </w:r>
          </w:p>
        </w:tc>
        <w:tc>
          <w:tcPr>
            <w:tcW w:type="dxa" w:w="2351"/>
          </w:tcPr>
          <w:p>
            <w:pPr>
              <w:spacing w:before="40" w:after="40"/>
            </w:pPr>
            <w:r>
              <w:rPr>
                <w:sz w:val="20"/>
              </w:rPr>
            </w:r>
            <w:r>
              <w:rPr>
                <w:sz w:val="20"/>
              </w:rPr>
              <w:t>01-Jun-2026</w:t>
            </w:r>
          </w:p>
        </w:tc>
        <w:tc>
          <w:tcPr>
            <w:tcW w:type="dxa" w:w="2351"/>
          </w:tcPr>
          <w:p>
            <w:pPr>
              <w:spacing w:before="40" w:after="40"/>
            </w:pPr>
            <w:r>
              <w:rPr>
                <w:sz w:val="20"/>
              </w:rPr>
            </w:r>
            <w:r>
              <w:rPr>
                <w:sz w:val="20"/>
              </w:rPr>
              <w:t>CISO</w:t>
            </w:r>
          </w:p>
        </w:tc>
        <w:tc>
          <w:tcPr>
            <w:tcW w:type="dxa" w:w="2351"/>
          </w:tcPr>
          <w:p>
            <w:pPr>
              <w:spacing w:before="40" w:after="40"/>
            </w:pPr>
            <w:r>
              <w:rPr>
                <w:sz w:val="20"/>
              </w:rPr>
            </w:r>
            <w:r>
              <w:rPr>
                <w:sz w:val="20"/>
              </w:rPr>
              <w:t>Initial release</w:t>
            </w:r>
          </w:p>
        </w:tc>
      </w:tr>
    </w:tbl>
    <w:p/>
    <w:p>
      <w:pPr>
        <w:spacing w:before="120" w:after="40"/>
      </w:pPr>
      <w:r>
        <w:rPr>
          <w:b/>
          <w:color w:val="4A90B0"/>
          <w:sz w:val="22"/>
        </w:rPr>
        <w:t>END OF DOCUMENT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