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b/>
          <w:color w:val="1B3A5C"/>
          <w:sz w:val="40"/>
        </w:rPr>
        <w:t>Bharat Mercantile Bank Limited</w:t>
      </w:r>
    </w:p>
    <w:p>
      <w:pPr>
        <w:spacing w:before="200" w:after="80"/>
      </w:pPr>
      <w:r>
        <w:rPr>
          <w:b/>
          <w:color w:val="2C5F8A"/>
          <w:sz w:val="32"/>
        </w:rPr>
        <w:t>Standard Operating Procedure - Periodic User Access Review for Network and Security Devices</w:t>
      </w:r>
    </w:p>
    <w:p>
      <w:pPr>
        <w:spacing w:before="20" w:after="20"/>
      </w:pPr>
      <w:r>
        <w:rPr>
          <w:b/>
          <w:sz w:val="20"/>
        </w:rPr>
        <w:t>Document Reference:</w:t>
      </w:r>
      <w:r>
        <w:rPr>
          <w:sz w:val="20"/>
        </w:rPr>
        <w:t xml:space="preserve"> DI-08-03</w:t>
      </w:r>
    </w:p>
    <w:p>
      <w:pPr>
        <w:spacing w:before="20" w:after="20"/>
      </w:pPr>
      <w:r>
        <w:rPr>
          <w:b/>
          <w:sz w:val="20"/>
        </w:rPr>
        <w:t>Version:</w:t>
      </w:r>
      <w:r>
        <w:rPr>
          <w:sz w:val="20"/>
        </w:rPr>
        <w:t xml:space="preserve"> 1.0</w:t>
      </w:r>
    </w:p>
    <w:p>
      <w:pPr>
        <w:spacing w:before="20" w:after="20"/>
      </w:pPr>
      <w:r>
        <w:rPr>
          <w:b/>
          <w:sz w:val="20"/>
        </w:rPr>
        <w:t>Effective Date:</w:t>
      </w:r>
      <w:r>
        <w:rPr>
          <w:sz w:val="20"/>
        </w:rPr>
        <w:t xml:space="preserve"> 01-June-2026</w:t>
      </w:r>
    </w:p>
    <w:p>
      <w:pPr>
        <w:spacing w:before="20" w:after="20"/>
      </w:pPr>
      <w:r>
        <w:rPr>
          <w:b/>
          <w:sz w:val="20"/>
        </w:rPr>
        <w:t>Classification:</w:t>
      </w:r>
      <w:r>
        <w:rPr>
          <w:sz w:val="20"/>
        </w:rPr>
        <w:t xml:space="preserve"> Confidential</w:t>
      </w:r>
    </w:p>
    <w:p>
      <w:pPr>
        <w:spacing w:before="20" w:after="20"/>
      </w:pPr>
      <w:r>
        <w:rPr>
          <w:b/>
          <w:sz w:val="20"/>
        </w:rPr>
        <w:t>Owner:</w:t>
      </w:r>
      <w:r>
        <w:rPr>
          <w:sz w:val="20"/>
        </w:rPr>
        <w:t xml:space="preserve"> Chief Information Security Officer (CISO)</w:t>
      </w:r>
    </w:p>
    <w:p>
      <w:pPr>
        <w:spacing w:before="160" w:after="60"/>
      </w:pPr>
      <w:r>
        <w:rPr>
          <w:b/>
          <w:color w:val="3A7CA5"/>
          <w:sz w:val="26"/>
        </w:rPr>
        <w:t>1. Purpose</w:t>
      </w:r>
    </w:p>
    <w:p>
      <w:pPr>
        <w:spacing w:before="20" w:after="20"/>
      </w:pPr>
      <w:r>
        <w:rPr>
          <w:sz w:val="20"/>
        </w:rPr>
        <w:t>This Standard Operating Procedure (SOP) establishes a structured framework for the periodic review of user access rights on network and security devices across Bharat Mercantile Bank Limited. This procedure ensures that access privileges remain appropriate, current, and aligned with the bank's security policies and regulatory requirements, including RBI guidelines on information security.</w:t>
      </w:r>
    </w:p>
    <w:p>
      <w:pPr>
        <w:spacing w:before="160" w:after="60"/>
      </w:pPr>
      <w:r>
        <w:rPr>
          <w:b/>
          <w:color w:val="3A7CA5"/>
          <w:sz w:val="26"/>
        </w:rPr>
        <w:t>2. Scope</w:t>
      </w:r>
    </w:p>
    <w:p>
      <w:pPr>
        <w:spacing w:before="20" w:after="20"/>
      </w:pPr>
      <w:r>
        <w:rPr>
          <w:sz w:val="20"/>
        </w:rPr>
        <w:t>This SOP applies to:</w:t>
      </w:r>
    </w:p>
    <w:p>
      <w:pPr>
        <w:spacing w:before="20" w:after="20"/>
        <w:ind w:left="567"/>
      </w:pPr>
      <w:r>
        <w:rPr>
          <w:sz w:val="20"/>
        </w:rPr>
        <w:t xml:space="preserve">  </w:t>
      </w:r>
      <w:r>
        <w:rPr>
          <w:sz w:val="20"/>
        </w:rPr>
        <w:t>All network devices including routers, switches, firewalls, load balancers, and WAN optimizers</w:t>
      </w:r>
    </w:p>
    <w:p>
      <w:pPr>
        <w:spacing w:before="20" w:after="20"/>
        <w:ind w:left="567"/>
      </w:pPr>
      <w:r>
        <w:rPr>
          <w:sz w:val="20"/>
        </w:rPr>
        <w:t xml:space="preserve">  </w:t>
      </w:r>
      <w:r>
        <w:rPr>
          <w:sz w:val="20"/>
        </w:rPr>
        <w:t>All security devices including IDS/IPS, SIEM, DLP, WAF, proxy servers, VPN gateways, and endpoint protection platforms</w:t>
      </w:r>
    </w:p>
    <w:p>
      <w:pPr>
        <w:spacing w:before="20" w:after="20"/>
        <w:ind w:left="567"/>
      </w:pPr>
      <w:r>
        <w:rPr>
          <w:sz w:val="20"/>
        </w:rPr>
        <w:t xml:space="preserve">  </w:t>
      </w:r>
      <w:r>
        <w:rPr>
          <w:sz w:val="20"/>
        </w:rPr>
        <w:t>All NAC (Network Access Control) systems</w:t>
      </w:r>
    </w:p>
    <w:p>
      <w:pPr>
        <w:spacing w:before="20" w:after="20"/>
        <w:ind w:left="567"/>
      </w:pPr>
      <w:r>
        <w:rPr>
          <w:sz w:val="20"/>
        </w:rPr>
        <w:t xml:space="preserve">  </w:t>
      </w:r>
      <w:r>
        <w:rPr>
          <w:sz w:val="20"/>
        </w:rPr>
        <w:t>All cloud network security components (security groups, network ACLs, cloud firewalls)</w:t>
      </w:r>
    </w:p>
    <w:p>
      <w:pPr>
        <w:spacing w:before="20" w:after="20"/>
        <w:ind w:left="567"/>
      </w:pPr>
      <w:r>
        <w:rPr>
          <w:sz w:val="20"/>
        </w:rPr>
        <w:t xml:space="preserve">  </w:t>
      </w:r>
      <w:r>
        <w:rPr>
          <w:sz w:val="20"/>
        </w:rPr>
        <w:t>All administrative and operational user accounts on the above devices</w:t>
      </w:r>
    </w:p>
    <w:p>
      <w:pPr>
        <w:spacing w:before="160" w:after="60"/>
      </w:pPr>
      <w:r>
        <w:rPr>
          <w:b/>
          <w:color w:val="3A7CA5"/>
          <w:sz w:val="26"/>
        </w:rPr>
        <w:t>3. Frequency of Reviews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3A5C"/>
          </w:tcPr>
          <w:p>
            <w:pPr>
              <w:spacing w:before="40" w:after="40"/>
            </w:pPr>
            <w:r>
              <w:rPr>
                <w:b/>
                <w:color w:val="FFFFFF"/>
                <w:sz w:val="20"/>
              </w:rPr>
            </w:r>
            <w:r>
              <w:rPr>
                <w:b/>
                <w:color w:val="FFFFFF"/>
                <w:sz w:val="20"/>
              </w:rPr>
              <w:t>Review Type</w:t>
            </w:r>
          </w:p>
        </w:tc>
        <w:tc>
          <w:tcPr>
            <w:tcW w:type="dxa" w:w="3135"/>
            <w:shd w:fill="1B3A5C"/>
          </w:tcPr>
          <w:p>
            <w:pPr>
              <w:spacing w:before="40" w:after="40"/>
            </w:pPr>
            <w:r>
              <w:rPr>
                <w:b/>
                <w:color w:val="FFFFFF"/>
                <w:sz w:val="20"/>
              </w:rPr>
            </w:r>
            <w:r>
              <w:rPr>
                <w:b/>
                <w:color w:val="FFFFFF"/>
                <w:sz w:val="20"/>
              </w:rPr>
              <w:t>Frequency</w:t>
            </w:r>
          </w:p>
        </w:tc>
        <w:tc>
          <w:tcPr>
            <w:tcW w:type="dxa" w:w="3135"/>
            <w:shd w:fill="1B3A5C"/>
          </w:tcPr>
          <w:p>
            <w:pPr>
              <w:spacing w:before="40" w:after="40"/>
            </w:pPr>
            <w:r>
              <w:rPr>
                <w:b/>
                <w:color w:val="FFFFFF"/>
                <w:sz w:val="20"/>
              </w:rPr>
            </w:r>
            <w:r>
              <w:rPr>
                <w:b/>
                <w:color w:val="FFFFFF"/>
                <w:sz w:val="20"/>
              </w:rPr>
              <w:t>Trigger</w:t>
            </w:r>
          </w:p>
        </w:tc>
      </w:tr>
      <w:tr>
        <w:tc>
          <w:tcPr>
            <w:tcW w:type="dxa" w:w="3135"/>
          </w:tcPr>
          <w:p>
            <w:pPr>
              <w:spacing w:before="40" w:after="40"/>
            </w:pPr>
            <w:r>
              <w:rPr>
                <w:sz w:val="20"/>
              </w:rPr>
            </w:r>
            <w:r>
              <w:rPr>
                <w:sz w:val="20"/>
              </w:rPr>
              <w:t>Quarterly Review</w:t>
            </w:r>
          </w:p>
        </w:tc>
        <w:tc>
          <w:tcPr>
            <w:tcW w:type="dxa" w:w="3135"/>
          </w:tcPr>
          <w:p>
            <w:pPr>
              <w:spacing w:before="40" w:after="40"/>
            </w:pPr>
            <w:r>
              <w:rPr>
                <w:sz w:val="20"/>
              </w:rPr>
            </w:r>
            <w:r>
              <w:rPr>
                <w:sz w:val="20"/>
              </w:rPr>
              <w:t>Once every 3 months</w:t>
            </w:r>
          </w:p>
        </w:tc>
        <w:tc>
          <w:tcPr>
            <w:tcW w:type="dxa" w:w="3135"/>
          </w:tcPr>
          <w:p>
            <w:pPr>
              <w:spacing w:before="40" w:after="40"/>
            </w:pPr>
            <w:r>
              <w:rPr>
                <w:sz w:val="20"/>
              </w:rPr>
            </w:r>
            <w:r>
              <w:rPr>
                <w:sz w:val="20"/>
              </w:rPr>
              <w:t>Calendar-based (Jan, Apr, Jul, Oct)</w:t>
            </w:r>
          </w:p>
        </w:tc>
      </w:tr>
      <w:tr>
        <w:tc>
          <w:tcPr>
            <w:tcW w:type="dxa" w:w="3135"/>
            <w:shd w:fill="F2F7FB"/>
          </w:tcPr>
          <w:p>
            <w:pPr>
              <w:spacing w:before="40" w:after="40"/>
            </w:pPr>
            <w:r>
              <w:rPr>
                <w:sz w:val="20"/>
              </w:rPr>
            </w:r>
            <w:r>
              <w:rPr>
                <w:sz w:val="20"/>
              </w:rPr>
              <w:t>Half-Yearly Deep Review</w:t>
            </w:r>
          </w:p>
        </w:tc>
        <w:tc>
          <w:tcPr>
            <w:tcW w:type="dxa" w:w="3135"/>
            <w:shd w:fill="F2F7FB"/>
          </w:tcPr>
          <w:p>
            <w:pPr>
              <w:spacing w:before="40" w:after="40"/>
            </w:pPr>
            <w:r>
              <w:rPr>
                <w:sz w:val="20"/>
              </w:rPr>
            </w:r>
            <w:r>
              <w:rPr>
                <w:sz w:val="20"/>
              </w:rPr>
              <w:t>Twice a year</w:t>
            </w:r>
          </w:p>
        </w:tc>
        <w:tc>
          <w:tcPr>
            <w:tcW w:type="dxa" w:w="3135"/>
            <w:shd w:fill="F2F7FB"/>
          </w:tcPr>
          <w:p>
            <w:pPr>
              <w:spacing w:before="40" w:after="40"/>
            </w:pPr>
            <w:r>
              <w:rPr>
                <w:sz w:val="20"/>
              </w:rPr>
            </w:r>
            <w:r>
              <w:rPr>
                <w:sz w:val="20"/>
              </w:rPr>
              <w:t>Calendar-based (Jan, Jul)</w:t>
            </w:r>
          </w:p>
        </w:tc>
      </w:tr>
      <w:tr>
        <w:tc>
          <w:tcPr>
            <w:tcW w:type="dxa" w:w="3135"/>
          </w:tcPr>
          <w:p>
            <w:pPr>
              <w:spacing w:before="40" w:after="40"/>
            </w:pPr>
            <w:r>
              <w:rPr>
                <w:sz w:val="20"/>
              </w:rPr>
            </w:r>
            <w:r>
              <w:rPr>
                <w:sz w:val="20"/>
              </w:rPr>
              <w:t>Triggered Review</w:t>
            </w:r>
          </w:p>
        </w:tc>
        <w:tc>
          <w:tcPr>
            <w:tcW w:type="dxa" w:w="3135"/>
          </w:tcPr>
          <w:p>
            <w:pPr>
              <w:spacing w:before="40" w:after="40"/>
            </w:pPr>
            <w:r>
              <w:rPr>
                <w:sz w:val="20"/>
              </w:rPr>
            </w:r>
            <w:r>
              <w:rPr>
                <w:sz w:val="20"/>
              </w:rPr>
              <w:t>As needed</w:t>
            </w:r>
          </w:p>
        </w:tc>
        <w:tc>
          <w:tcPr>
            <w:tcW w:type="dxa" w:w="3135"/>
          </w:tcPr>
          <w:p>
            <w:pPr>
              <w:spacing w:before="40" w:after="40"/>
            </w:pPr>
            <w:r>
              <w:rPr>
                <w:sz w:val="20"/>
              </w:rPr>
            </w:r>
            <w:r>
              <w:rPr>
                <w:sz w:val="20"/>
              </w:rPr>
              <w:t>Role change, termination, security incident</w:t>
            </w:r>
          </w:p>
        </w:tc>
      </w:tr>
    </w:tbl>
    <w:p/>
    <w:p>
      <w:pPr>
        <w:spacing w:before="160" w:after="60"/>
      </w:pPr>
      <w:r>
        <w:rPr>
          <w:b/>
          <w:color w:val="3A7CA5"/>
          <w:sz w:val="26"/>
        </w:rPr>
        <w:t>4. Roles and Responsibilities</w:t>
      </w:r>
    </w:p>
    <w:tbl>
      <w:tblPr>
        <w:tblStyle w:val="TableGrid"/>
        <w:tblW w:type="auto" w:w="0"/>
        <w:jc w:val="center"/>
        <w:tblLook w:firstColumn="1" w:firstRow="1" w:lastColumn="0" w:lastRow="0" w:noHBand="0" w:noVBand="1" w:val="04A0"/>
      </w:tblPr>
      <w:tblGrid>
        <w:gridCol w:w="4703"/>
        <w:gridCol w:w="4703"/>
      </w:tblGrid>
      <w:tr>
        <w:tc>
          <w:tcPr>
            <w:tcW w:type="dxa" w:w="4703"/>
            <w:shd w:fill="1B3A5C"/>
          </w:tcPr>
          <w:p>
            <w:pPr>
              <w:spacing w:before="40" w:after="40"/>
            </w:pPr>
            <w:r>
              <w:rPr>
                <w:b/>
                <w:color w:val="FFFFFF"/>
                <w:sz w:val="20"/>
              </w:rPr>
            </w:r>
            <w:r>
              <w:rPr>
                <w:b/>
                <w:color w:val="FFFFFF"/>
                <w:sz w:val="20"/>
              </w:rPr>
              <w:t>Role</w:t>
            </w:r>
          </w:p>
        </w:tc>
        <w:tc>
          <w:tcPr>
            <w:tcW w:type="dxa" w:w="4703"/>
            <w:shd w:fill="1B3A5C"/>
          </w:tcPr>
          <w:p>
            <w:pPr>
              <w:spacing w:before="40" w:after="40"/>
            </w:pPr>
            <w:r>
              <w:rPr>
                <w:b/>
                <w:color w:val="FFFFFF"/>
                <w:sz w:val="20"/>
              </w:rPr>
            </w:r>
            <w:r>
              <w:rPr>
                <w:b/>
                <w:color w:val="FFFFFF"/>
                <w:sz w:val="20"/>
              </w:rPr>
              <w:t>Responsibility</w:t>
            </w:r>
          </w:p>
        </w:tc>
      </w:tr>
      <w:tr>
        <w:tc>
          <w:tcPr>
            <w:tcW w:type="dxa" w:w="4703"/>
          </w:tcPr>
          <w:p>
            <w:pPr>
              <w:spacing w:before="40" w:after="40"/>
            </w:pPr>
            <w:r>
              <w:rPr>
                <w:sz w:val="20"/>
              </w:rPr>
            </w:r>
            <w:r>
              <w:rPr>
                <w:sz w:val="20"/>
              </w:rPr>
              <w:t>Network Security Manager</w:t>
            </w:r>
          </w:p>
        </w:tc>
        <w:tc>
          <w:tcPr>
            <w:tcW w:type="dxa" w:w="4703"/>
          </w:tcPr>
          <w:p>
            <w:pPr>
              <w:spacing w:before="40" w:after="40"/>
            </w:pPr>
            <w:r>
              <w:rPr>
                <w:sz w:val="20"/>
              </w:rPr>
            </w:r>
            <w:r>
              <w:rPr>
                <w:sz w:val="20"/>
              </w:rPr>
              <w:t>Overall coordination of access reviews for network devices</w:t>
            </w:r>
          </w:p>
        </w:tc>
      </w:tr>
      <w:tr>
        <w:tc>
          <w:tcPr>
            <w:tcW w:type="dxa" w:w="4703"/>
            <w:shd w:fill="F2F7FB"/>
          </w:tcPr>
          <w:p>
            <w:pPr>
              <w:spacing w:before="40" w:after="40"/>
            </w:pPr>
            <w:r>
              <w:rPr>
                <w:sz w:val="20"/>
              </w:rPr>
            </w:r>
            <w:r>
              <w:rPr>
                <w:sz w:val="20"/>
              </w:rPr>
              <w:t>IT Security Manager</w:t>
            </w:r>
          </w:p>
        </w:tc>
        <w:tc>
          <w:tcPr>
            <w:tcW w:type="dxa" w:w="4703"/>
            <w:shd w:fill="F2F7FB"/>
          </w:tcPr>
          <w:p>
            <w:pPr>
              <w:spacing w:before="40" w:after="40"/>
            </w:pPr>
            <w:r>
              <w:rPr>
                <w:sz w:val="20"/>
              </w:rPr>
            </w:r>
            <w:r>
              <w:rPr>
                <w:sz w:val="20"/>
              </w:rPr>
              <w:t>Overall coordination of access reviews for security devices</w:t>
            </w:r>
          </w:p>
        </w:tc>
      </w:tr>
      <w:tr>
        <w:tc>
          <w:tcPr>
            <w:tcW w:type="dxa" w:w="4703"/>
          </w:tcPr>
          <w:p>
            <w:pPr>
              <w:spacing w:before="40" w:after="40"/>
            </w:pPr>
            <w:r>
              <w:rPr>
                <w:sz w:val="20"/>
              </w:rPr>
            </w:r>
            <w:r>
              <w:rPr>
                <w:sz w:val="20"/>
              </w:rPr>
              <w:t>Device Administrators</w:t>
            </w:r>
          </w:p>
        </w:tc>
        <w:tc>
          <w:tcPr>
            <w:tcW w:type="dxa" w:w="4703"/>
          </w:tcPr>
          <w:p>
            <w:pPr>
              <w:spacing w:before="40" w:after="40"/>
            </w:pPr>
            <w:r>
              <w:rPr>
                <w:sz w:val="20"/>
              </w:rPr>
            </w:r>
            <w:r>
              <w:rPr>
                <w:sz w:val="20"/>
              </w:rPr>
              <w:t>Extraction of current user lists and privilege information</w:t>
            </w:r>
          </w:p>
        </w:tc>
      </w:tr>
      <w:tr>
        <w:tc>
          <w:tcPr>
            <w:tcW w:type="dxa" w:w="4703"/>
            <w:shd w:fill="F2F7FB"/>
          </w:tcPr>
          <w:p>
            <w:pPr>
              <w:spacing w:before="40" w:after="40"/>
            </w:pPr>
            <w:r>
              <w:rPr>
                <w:sz w:val="20"/>
              </w:rPr>
            </w:r>
            <w:r>
              <w:rPr>
                <w:sz w:val="20"/>
              </w:rPr>
              <w:t>Device Owners</w:t>
            </w:r>
          </w:p>
        </w:tc>
        <w:tc>
          <w:tcPr>
            <w:tcW w:type="dxa" w:w="4703"/>
            <w:shd w:fill="F2F7FB"/>
          </w:tcPr>
          <w:p>
            <w:pPr>
              <w:spacing w:before="40" w:after="40"/>
            </w:pPr>
            <w:r>
              <w:rPr>
                <w:sz w:val="20"/>
              </w:rPr>
            </w:r>
            <w:r>
              <w:rPr>
                <w:sz w:val="20"/>
              </w:rPr>
              <w:t>Validation of continued need for each user account</w:t>
            </w:r>
          </w:p>
        </w:tc>
      </w:tr>
      <w:tr>
        <w:tc>
          <w:tcPr>
            <w:tcW w:type="dxa" w:w="4703"/>
          </w:tcPr>
          <w:p>
            <w:pPr>
              <w:spacing w:before="40" w:after="40"/>
            </w:pPr>
            <w:r>
              <w:rPr>
                <w:sz w:val="20"/>
              </w:rPr>
            </w:r>
            <w:r>
              <w:rPr>
                <w:sz w:val="20"/>
              </w:rPr>
              <w:t>Reporting Managers</w:t>
            </w:r>
          </w:p>
        </w:tc>
        <w:tc>
          <w:tcPr>
            <w:tcW w:type="dxa" w:w="4703"/>
          </w:tcPr>
          <w:p>
            <w:pPr>
              <w:spacing w:before="40" w:after="40"/>
            </w:pPr>
            <w:r>
              <w:rPr>
                <w:sz w:val="20"/>
              </w:rPr>
            </w:r>
            <w:r>
              <w:rPr>
                <w:sz w:val="20"/>
              </w:rPr>
              <w:t>Confirmation of user roles and employment status</w:t>
            </w:r>
          </w:p>
        </w:tc>
      </w:tr>
      <w:tr>
        <w:tc>
          <w:tcPr>
            <w:tcW w:type="dxa" w:w="4703"/>
            <w:shd w:fill="F2F7FB"/>
          </w:tcPr>
          <w:p>
            <w:pPr>
              <w:spacing w:before="40" w:after="40"/>
            </w:pPr>
            <w:r>
              <w:rPr>
                <w:sz w:val="20"/>
              </w:rPr>
            </w:r>
            <w:r>
              <w:rPr>
                <w:sz w:val="20"/>
              </w:rPr>
              <w:t>Information Security Group</w:t>
            </w:r>
          </w:p>
        </w:tc>
        <w:tc>
          <w:tcPr>
            <w:tcW w:type="dxa" w:w="4703"/>
            <w:shd w:fill="F2F7FB"/>
          </w:tcPr>
          <w:p>
            <w:pPr>
              <w:spacing w:before="40" w:after="40"/>
            </w:pPr>
            <w:r>
              <w:rPr>
                <w:sz w:val="20"/>
              </w:rPr>
            </w:r>
            <w:r>
              <w:rPr>
                <w:sz w:val="20"/>
              </w:rPr>
              <w:t>Independent verification of review completion</w:t>
            </w:r>
          </w:p>
        </w:tc>
      </w:tr>
      <w:tr>
        <w:tc>
          <w:tcPr>
            <w:tcW w:type="dxa" w:w="4703"/>
          </w:tcPr>
          <w:p>
            <w:pPr>
              <w:spacing w:before="40" w:after="40"/>
            </w:pPr>
            <w:r>
              <w:rPr>
                <w:sz w:val="20"/>
              </w:rPr>
            </w:r>
            <w:r>
              <w:rPr>
                <w:sz w:val="20"/>
              </w:rPr>
              <w:t>Internal Audit</w:t>
            </w:r>
          </w:p>
        </w:tc>
        <w:tc>
          <w:tcPr>
            <w:tcW w:type="dxa" w:w="4703"/>
          </w:tcPr>
          <w:p>
            <w:pPr>
              <w:spacing w:before="40" w:after="40"/>
            </w:pPr>
            <w:r>
              <w:rPr>
                <w:sz w:val="20"/>
              </w:rPr>
            </w:r>
            <w:r>
              <w:rPr>
                <w:sz w:val="20"/>
              </w:rPr>
              <w:t>Periodic audit of review compliance</w:t>
            </w:r>
          </w:p>
        </w:tc>
      </w:tr>
    </w:tbl>
    <w:p/>
    <w:p>
      <w:pPr>
        <w:spacing w:before="160" w:after="60"/>
      </w:pPr>
      <w:r>
        <w:rPr>
          <w:b/>
          <w:color w:val="3A7CA5"/>
          <w:sz w:val="26"/>
        </w:rPr>
        <w:t>5. Step-by-Step Procedure</w:t>
      </w:r>
    </w:p>
    <w:p>
      <w:pPr>
        <w:spacing w:before="120" w:after="40"/>
      </w:pPr>
      <w:r>
        <w:rPr>
          <w:b/>
          <w:color w:val="4A90B0"/>
          <w:sz w:val="22"/>
        </w:rPr>
        <w:t>5.1 Preparation Phase</w:t>
      </w:r>
    </w:p>
    <w:p>
      <w:pPr>
        <w:spacing w:before="20" w:after="20"/>
      </w:pPr>
      <w:r>
        <w:rPr>
          <w:sz w:val="20"/>
        </w:rPr>
        <w:t>1. The Network Security Manager and IT Security Manager shall identify all network and security devices in scope for the upcoming review cycle.</w:t>
      </w:r>
    </w:p>
    <w:p>
      <w:pPr>
        <w:spacing w:before="20" w:after="20"/>
      </w:pPr>
      <w:r>
        <w:rPr>
          <w:sz w:val="20"/>
        </w:rPr>
        <w:t>2. A complete device inventory shall be prepared including hostname, IP address, device type, location, and device owner.</w:t>
      </w:r>
    </w:p>
    <w:p>
      <w:pPr>
        <w:spacing w:before="20" w:after="20"/>
      </w:pPr>
      <w:r>
        <w:rPr>
          <w:sz w:val="20"/>
        </w:rPr>
        <w:t>3. The review schedule shall be communicated to all stakeholders at least 15 days prior to the review date.</w:t>
      </w:r>
    </w:p>
    <w:p>
      <w:pPr>
        <w:spacing w:before="20" w:after="20"/>
      </w:pPr>
      <w:r>
        <w:rPr>
          <w:sz w:val="20"/>
        </w:rPr>
        <w:t>4. Access to device configuration for user extraction shall be arranged with the respective device administrators.</w:t>
      </w:r>
    </w:p>
    <w:p>
      <w:pPr>
        <w:spacing w:before="120" w:after="40"/>
      </w:pPr>
      <w:r>
        <w:rPr>
          <w:b/>
          <w:color w:val="4A90B0"/>
          <w:sz w:val="22"/>
        </w:rPr>
        <w:t>5.2 Data Collection Phase</w:t>
      </w:r>
    </w:p>
    <w:p>
      <w:pPr>
        <w:spacing w:before="20" w:after="20"/>
      </w:pPr>
      <w:r>
        <w:rPr>
          <w:sz w:val="20"/>
        </w:rPr>
        <w:t>1. For each device, the device administrator shall extract the complete list of user accounts, including:</w:t>
      </w:r>
    </w:p>
    <w:p>
      <w:pPr>
        <w:spacing w:before="20" w:after="20"/>
      </w:pPr>
      <w:r>
        <w:rPr>
          <w:sz w:val="20"/>
        </w:rPr>
        <w:t>a. Local user accounts</w:t>
      </w:r>
    </w:p>
    <w:p>
      <w:pPr>
        <w:spacing w:before="20" w:after="20"/>
      </w:pPr>
      <w:r>
        <w:rPr>
          <w:sz w:val="20"/>
        </w:rPr>
        <w:t>b. Domain/AAA authenticated users configured on the device</w:t>
      </w:r>
    </w:p>
    <w:p>
      <w:pPr>
        <w:spacing w:before="20" w:after="20"/>
      </w:pPr>
      <w:r>
        <w:rPr>
          <w:sz w:val="20"/>
        </w:rPr>
        <w:t>c. Service accounts</w:t>
      </w:r>
    </w:p>
    <w:p>
      <w:pPr>
        <w:spacing w:before="20" w:after="20"/>
      </w:pPr>
      <w:r>
        <w:rPr>
          <w:sz w:val="20"/>
        </w:rPr>
        <w:t>d. Emergency/local backup accounts</w:t>
      </w:r>
    </w:p>
    <w:p>
      <w:pPr>
        <w:spacing w:before="20" w:after="20"/>
      </w:pPr>
      <w:r>
        <w:rPr>
          <w:sz w:val="20"/>
        </w:rPr>
        <w:t>e. SNMP community strings and other access credentials</w:t>
      </w:r>
    </w:p>
    <w:p>
      <w:pPr>
        <w:spacing w:before="20" w:after="20"/>
      </w:pPr>
      <w:r>
        <w:rPr>
          <w:sz w:val="20"/>
        </w:rPr>
        <w:t>2. For each account, the following information shall be collected:</w:t>
      </w:r>
    </w:p>
    <w:p>
      <w:pPr>
        <w:spacing w:before="20" w:after="20"/>
      </w:pPr>
      <w:r>
        <w:rPr>
          <w:sz w:val="20"/>
        </w:rPr>
        <w:t>a. Username</w:t>
      </w:r>
    </w:p>
    <w:p>
      <w:pPr>
        <w:spacing w:before="20" w:after="20"/>
      </w:pPr>
      <w:r>
        <w:rPr>
          <w:sz w:val="20"/>
        </w:rPr>
        <w:t>b. Privilege level / Role</w:t>
      </w:r>
    </w:p>
    <w:p>
      <w:pPr>
        <w:spacing w:before="20" w:after="20"/>
      </w:pPr>
      <w:r>
        <w:rPr>
          <w:sz w:val="20"/>
        </w:rPr>
        <w:t>c. Last login date</w:t>
      </w:r>
    </w:p>
    <w:p>
      <w:pPr>
        <w:spacing w:before="20" w:after="20"/>
      </w:pPr>
      <w:r>
        <w:rPr>
          <w:sz w:val="20"/>
        </w:rPr>
        <w:t>d. Account status (active/disabled/locked)</w:t>
      </w:r>
    </w:p>
    <w:p>
      <w:pPr>
        <w:spacing w:before="20" w:after="20"/>
      </w:pPr>
      <w:r>
        <w:rPr>
          <w:sz w:val="20"/>
        </w:rPr>
        <w:t>e. Date of account creation</w:t>
      </w:r>
    </w:p>
    <w:p>
      <w:pPr>
        <w:spacing w:before="20" w:after="20"/>
      </w:pPr>
      <w:r>
        <w:rPr>
          <w:sz w:val="20"/>
        </w:rPr>
        <w:t>f. Associated user (employee ID, if available)</w:t>
      </w:r>
    </w:p>
    <w:p>
      <w:pPr>
        <w:spacing w:before="20" w:after="20"/>
      </w:pPr>
      <w:r>
        <w:rPr>
          <w:sz w:val="20"/>
        </w:rPr>
        <w:t>3. The collected data shall be compiled into the User Access Review Log (DI-08-04) template.</w:t>
      </w:r>
    </w:p>
    <w:p>
      <w:pPr>
        <w:spacing w:before="120" w:after="40"/>
      </w:pPr>
      <w:r>
        <w:rPr>
          <w:b/>
          <w:color w:val="4A90B0"/>
          <w:sz w:val="22"/>
        </w:rPr>
        <w:t>5.3 Validation Phase</w:t>
      </w:r>
    </w:p>
    <w:p>
      <w:pPr>
        <w:spacing w:before="20" w:after="20"/>
      </w:pPr>
      <w:r>
        <w:rPr>
          <w:sz w:val="20"/>
        </w:rPr>
        <w:t>1. Each account shall be validated against the current HRMS database to confirm:</w:t>
      </w:r>
    </w:p>
    <w:p>
      <w:pPr>
        <w:spacing w:before="20" w:after="20"/>
      </w:pPr>
      <w:r>
        <w:rPr>
          <w:sz w:val="20"/>
        </w:rPr>
        <w:t>a. User is currently employed with the bank</w:t>
      </w:r>
    </w:p>
    <w:p>
      <w:pPr>
        <w:spacing w:before="20" w:after="20"/>
      </w:pPr>
      <w:r>
        <w:rPr>
          <w:sz w:val="20"/>
        </w:rPr>
        <w:t>b. User's role and department are correct</w:t>
      </w:r>
    </w:p>
    <w:p>
      <w:pPr>
        <w:spacing w:before="20" w:after="20"/>
      </w:pPr>
      <w:r>
        <w:rPr>
          <w:sz w:val="20"/>
        </w:rPr>
        <w:t>c. User's reporting manager is current</w:t>
      </w:r>
    </w:p>
    <w:p>
      <w:pPr>
        <w:spacing w:before="20" w:after="20"/>
      </w:pPr>
      <w:r>
        <w:rPr>
          <w:sz w:val="20"/>
        </w:rPr>
        <w:t>2. Each account shall be validated against the access request records to confirm:</w:t>
      </w:r>
    </w:p>
    <w:p>
      <w:pPr>
        <w:spacing w:before="20" w:after="20"/>
      </w:pPr>
      <w:r>
        <w:rPr>
          <w:sz w:val="20"/>
        </w:rPr>
        <w:t>a. Access was formally requested and approved</w:t>
      </w:r>
    </w:p>
    <w:p>
      <w:pPr>
        <w:spacing w:before="20" w:after="20"/>
      </w:pPr>
      <w:r>
        <w:rPr>
          <w:sz w:val="20"/>
        </w:rPr>
        <w:t>b. Access is still required for the user's current role</w:t>
      </w:r>
    </w:p>
    <w:p>
      <w:pPr>
        <w:spacing w:before="20" w:after="20"/>
      </w:pPr>
      <w:r>
        <w:rPr>
          <w:sz w:val="20"/>
        </w:rPr>
        <w:t>3. The following actions shall be taken for accounts failing validation:</w:t>
      </w:r>
    </w:p>
    <w:p>
      <w:pPr>
        <w:spacing w:before="20" w:after="20"/>
      </w:pPr>
      <w:r>
        <w:rPr>
          <w:sz w:val="20"/>
        </w:rPr>
        <w:t>a. Terminated employees - immediate disablement and removal</w:t>
      </w:r>
    </w:p>
    <w:p>
      <w:pPr>
        <w:spacing w:before="20" w:after="20"/>
      </w:pPr>
      <w:r>
        <w:rPr>
          <w:sz w:val="20"/>
        </w:rPr>
        <w:t>b. Transferred employees - review and modify access to match new role</w:t>
      </w:r>
    </w:p>
    <w:p>
      <w:pPr>
        <w:spacing w:before="20" w:after="20"/>
      </w:pPr>
      <w:r>
        <w:rPr>
          <w:sz w:val="20"/>
        </w:rPr>
        <w:t>c. Orphaned/suspicious accounts - immediate disablement and investigation</w:t>
      </w:r>
    </w:p>
    <w:p>
      <w:pPr>
        <w:spacing w:before="20" w:after="20"/>
      </w:pPr>
      <w:r>
        <w:rPr>
          <w:sz w:val="20"/>
        </w:rPr>
        <w:t>d. Inactive accounts (no login for 90+ days) - disablement pending reactivation request</w:t>
      </w:r>
    </w:p>
    <w:p>
      <w:pPr>
        <w:spacing w:before="120" w:after="40"/>
      </w:pPr>
      <w:r>
        <w:rPr>
          <w:b/>
          <w:color w:val="4A90B0"/>
          <w:sz w:val="22"/>
        </w:rPr>
        <w:t>5.4 Privilege Review Phase</w:t>
      </w:r>
    </w:p>
    <w:p>
      <w:pPr>
        <w:spacing w:before="20" w:after="20"/>
      </w:pPr>
      <w:r>
        <w:rPr>
          <w:sz w:val="20"/>
        </w:rPr>
        <w:t>1. For each active user, the assigned privilege level/role shall be reviewed against:</w:t>
      </w:r>
    </w:p>
    <w:p>
      <w:pPr>
        <w:spacing w:before="20" w:after="20"/>
      </w:pPr>
      <w:r>
        <w:rPr>
          <w:sz w:val="20"/>
        </w:rPr>
        <w:t>a. Principle of least privilege</w:t>
      </w:r>
    </w:p>
    <w:p>
      <w:pPr>
        <w:spacing w:before="20" w:after="20"/>
      </w:pPr>
      <w:r>
        <w:rPr>
          <w:sz w:val="20"/>
        </w:rPr>
        <w:t>b. Job role requirements</w:t>
      </w:r>
    </w:p>
    <w:p>
      <w:pPr>
        <w:spacing w:before="20" w:after="20"/>
      </w:pPr>
      <w:r>
        <w:rPr>
          <w:sz w:val="20"/>
        </w:rPr>
        <w:t>c. Segregation of duties requirements</w:t>
      </w:r>
    </w:p>
    <w:p>
      <w:pPr>
        <w:spacing w:before="20" w:after="20"/>
      </w:pPr>
      <w:r>
        <w:rPr>
          <w:sz w:val="20"/>
        </w:rPr>
        <w:t>2. Any excessive privileges identified shall be reduced with documented justification.</w:t>
      </w:r>
    </w:p>
    <w:p>
      <w:pPr>
        <w:spacing w:before="20" w:after="20"/>
      </w:pPr>
      <w:r>
        <w:rPr>
          <w:sz w:val="20"/>
        </w:rPr>
        <w:t>3. Privilege escalation (e.g., read-only to read-write) shall require fresh approval from the device owner.</w:t>
      </w:r>
    </w:p>
    <w:p>
      <w:pPr>
        <w:spacing w:before="120" w:after="40"/>
      </w:pPr>
      <w:r>
        <w:rPr>
          <w:b/>
          <w:color w:val="4A90B0"/>
          <w:sz w:val="22"/>
        </w:rPr>
        <w:t>5.5 Remediation Phase</w:t>
      </w:r>
    </w:p>
    <w:p>
      <w:pPr>
        <w:spacing w:before="20" w:after="20"/>
      </w:pPr>
      <w:r>
        <w:rPr>
          <w:sz w:val="20"/>
        </w:rPr>
        <w:t>1. Accounts requiring disablement or modification shall be actioned within 5 business days of review completion.</w:t>
      </w:r>
    </w:p>
    <w:p>
      <w:pPr>
        <w:spacing w:before="20" w:after="20"/>
      </w:pPr>
      <w:r>
        <w:rPr>
          <w:sz w:val="20"/>
        </w:rPr>
        <w:t>2. A remediation log shall be maintained tracking:</w:t>
      </w:r>
    </w:p>
    <w:p>
      <w:pPr>
        <w:spacing w:before="20" w:after="20"/>
      </w:pPr>
      <w:r>
        <w:rPr>
          <w:sz w:val="20"/>
        </w:rPr>
        <w:t>a. Account details</w:t>
      </w:r>
    </w:p>
    <w:p>
      <w:pPr>
        <w:spacing w:before="20" w:after="20"/>
      </w:pPr>
      <w:r>
        <w:rPr>
          <w:sz w:val="20"/>
        </w:rPr>
        <w:t>b. Issue identified</w:t>
      </w:r>
    </w:p>
    <w:p>
      <w:pPr>
        <w:spacing w:before="20" w:after="20"/>
      </w:pPr>
      <w:r>
        <w:rPr>
          <w:sz w:val="20"/>
        </w:rPr>
        <w:t>c. Action taken</w:t>
      </w:r>
    </w:p>
    <w:p>
      <w:pPr>
        <w:spacing w:before="20" w:after="20"/>
      </w:pPr>
      <w:r>
        <w:rPr>
          <w:sz w:val="20"/>
        </w:rPr>
        <w:t>d. Date of action</w:t>
      </w:r>
    </w:p>
    <w:p>
      <w:pPr>
        <w:spacing w:before="20" w:after="20"/>
      </w:pPr>
      <w:r>
        <w:rPr>
          <w:sz w:val="20"/>
        </w:rPr>
        <w:t>e. Performed by</w:t>
      </w:r>
    </w:p>
    <w:p>
      <w:pPr>
        <w:spacing w:before="20" w:after="20"/>
      </w:pPr>
      <w:r>
        <w:rPr>
          <w:sz w:val="20"/>
        </w:rPr>
        <w:t>f. Verified by</w:t>
      </w:r>
    </w:p>
    <w:p>
      <w:pPr>
        <w:spacing w:before="120" w:after="40"/>
      </w:pPr>
      <w:r>
        <w:rPr>
          <w:b/>
          <w:color w:val="4A90B0"/>
          <w:sz w:val="22"/>
        </w:rPr>
        <w:t>5.6 Documentation and Reporting Phase</w:t>
      </w:r>
    </w:p>
    <w:p>
      <w:pPr>
        <w:spacing w:before="20" w:after="20"/>
      </w:pPr>
      <w:r>
        <w:rPr>
          <w:sz w:val="20"/>
        </w:rPr>
        <w:t>1. The completed User Access Review Log (DI-08-04) shall be signed off by:</w:t>
      </w:r>
    </w:p>
    <w:p>
      <w:pPr>
        <w:spacing w:before="20" w:after="20"/>
      </w:pPr>
      <w:r>
        <w:rPr>
          <w:sz w:val="20"/>
        </w:rPr>
        <w:t>a. Device Owner</w:t>
      </w:r>
    </w:p>
    <w:p>
      <w:pPr>
        <w:spacing w:before="20" w:after="20"/>
      </w:pPr>
      <w:r>
        <w:rPr>
          <w:sz w:val="20"/>
        </w:rPr>
        <w:t>b. Network Security Manager / IT Security Manager</w:t>
      </w:r>
    </w:p>
    <w:p>
      <w:pPr>
        <w:spacing w:before="20" w:after="20"/>
      </w:pPr>
      <w:r>
        <w:rPr>
          <w:sz w:val="20"/>
        </w:rPr>
        <w:t>c. CISO (or nominee)</w:t>
      </w:r>
    </w:p>
    <w:p>
      <w:pPr>
        <w:spacing w:before="20" w:after="20"/>
      </w:pPr>
      <w:r>
        <w:rPr>
          <w:sz w:val="20"/>
        </w:rPr>
        <w:t>2. A summary report shall be submitted to the IT Strategy Committee quarterly.</w:t>
      </w:r>
    </w:p>
    <w:p>
      <w:pPr>
        <w:spacing w:before="20" w:after="20"/>
      </w:pPr>
      <w:r>
        <w:rPr>
          <w:sz w:val="20"/>
        </w:rPr>
        <w:t>3. Deviations or overdue reviews shall be escalated to the CISO and Board-level IT Committee.</w:t>
      </w:r>
    </w:p>
    <w:p>
      <w:pPr>
        <w:spacing w:before="160" w:after="60"/>
      </w:pPr>
      <w:r>
        <w:rPr>
          <w:b/>
          <w:color w:val="3A7CA5"/>
          <w:sz w:val="26"/>
        </w:rPr>
        <w:t>6. Specific Review Checklists</w:t>
      </w:r>
    </w:p>
    <w:p>
      <w:pPr>
        <w:spacing w:before="120" w:after="40"/>
      </w:pPr>
      <w:r>
        <w:rPr>
          <w:b/>
          <w:color w:val="4A90B0"/>
          <w:sz w:val="22"/>
        </w:rPr>
        <w:t>6.1 Firewall Access Review Checklist</w:t>
      </w:r>
    </w:p>
    <w:p>
      <w:pPr>
        <w:spacing w:before="20" w:after="20"/>
        <w:ind w:left="567"/>
      </w:pPr>
      <w:r>
        <w:rPr>
          <w:sz w:val="20"/>
        </w:rPr>
        <w:t xml:space="preserve">  </w:t>
      </w:r>
      <w:r>
        <w:rPr>
          <w:sz w:val="20"/>
        </w:rPr>
        <w:t>Review firewall admin accounts and remove unused ones</w:t>
      </w:r>
    </w:p>
    <w:p>
      <w:pPr>
        <w:spacing w:before="20" w:after="20"/>
        <w:ind w:left="567"/>
      </w:pPr>
      <w:r>
        <w:rPr>
          <w:sz w:val="20"/>
        </w:rPr>
        <w:t xml:space="preserve">  </w:t>
      </w:r>
      <w:r>
        <w:rPr>
          <w:sz w:val="20"/>
        </w:rPr>
        <w:t>Verify TACACS+/RADIUS authentication configurations</w:t>
      </w:r>
    </w:p>
    <w:p>
      <w:pPr>
        <w:spacing w:before="20" w:after="20"/>
        <w:ind w:left="567"/>
      </w:pPr>
      <w:r>
        <w:rPr>
          <w:sz w:val="20"/>
        </w:rPr>
        <w:t xml:space="preserve">  </w:t>
      </w:r>
      <w:r>
        <w:rPr>
          <w:sz w:val="20"/>
        </w:rPr>
        <w:t>Review rule base - identify rules with stale/excessive source IPs</w:t>
      </w:r>
    </w:p>
    <w:p>
      <w:pPr>
        <w:spacing w:before="20" w:after="20"/>
        <w:ind w:left="567"/>
      </w:pPr>
      <w:r>
        <w:rPr>
          <w:sz w:val="20"/>
        </w:rPr>
        <w:t xml:space="preserve">  </w:t>
      </w:r>
      <w:r>
        <w:rPr>
          <w:sz w:val="20"/>
        </w:rPr>
        <w:t>Check for any shared admin accounts</w:t>
      </w:r>
    </w:p>
    <w:p>
      <w:pPr>
        <w:spacing w:before="20" w:after="20"/>
        <w:ind w:left="567"/>
      </w:pPr>
      <w:r>
        <w:rPr>
          <w:sz w:val="20"/>
        </w:rPr>
        <w:t xml:space="preserve">  </w:t>
      </w:r>
      <w:r>
        <w:rPr>
          <w:sz w:val="20"/>
        </w:rPr>
        <w:t>Verify logging and alerting for administrative logins</w:t>
      </w:r>
    </w:p>
    <w:p>
      <w:pPr>
        <w:spacing w:before="120" w:after="40"/>
      </w:pPr>
      <w:r>
        <w:rPr>
          <w:b/>
          <w:color w:val="4A90B0"/>
          <w:sz w:val="22"/>
        </w:rPr>
        <w:t>6.2 Switch/Router Access Review Checklist</w:t>
      </w:r>
    </w:p>
    <w:p>
      <w:pPr>
        <w:spacing w:before="20" w:after="20"/>
        <w:ind w:left="567"/>
      </w:pPr>
      <w:r>
        <w:rPr>
          <w:sz w:val="20"/>
        </w:rPr>
        <w:t xml:space="preserve">  </w:t>
      </w:r>
      <w:r>
        <w:rPr>
          <w:sz w:val="20"/>
        </w:rPr>
        <w:t>Review local accounts on each device</w:t>
      </w:r>
    </w:p>
    <w:p>
      <w:pPr>
        <w:spacing w:before="20" w:after="20"/>
        <w:ind w:left="567"/>
      </w:pPr>
      <w:r>
        <w:rPr>
          <w:sz w:val="20"/>
        </w:rPr>
        <w:t xml:space="preserve">  </w:t>
      </w:r>
      <w:r>
        <w:rPr>
          <w:sz w:val="20"/>
        </w:rPr>
        <w:t>Verify AAA server configuration and fallback accounts</w:t>
      </w:r>
    </w:p>
    <w:p>
      <w:pPr>
        <w:spacing w:before="20" w:after="20"/>
        <w:ind w:left="567"/>
      </w:pPr>
      <w:r>
        <w:rPr>
          <w:sz w:val="20"/>
        </w:rPr>
        <w:t xml:space="preserve">  </w:t>
      </w:r>
      <w:r>
        <w:rPr>
          <w:sz w:val="20"/>
        </w:rPr>
        <w:t>Review SNMP community strings and ACL restrictions</w:t>
      </w:r>
    </w:p>
    <w:p>
      <w:pPr>
        <w:spacing w:before="20" w:after="20"/>
        <w:ind w:left="567"/>
      </w:pPr>
      <w:r>
        <w:rPr>
          <w:sz w:val="20"/>
        </w:rPr>
        <w:t xml:space="preserve">  </w:t>
      </w:r>
      <w:r>
        <w:rPr>
          <w:sz w:val="20"/>
        </w:rPr>
        <w:t>Check privilege levels assigned to each user</w:t>
      </w:r>
    </w:p>
    <w:p>
      <w:pPr>
        <w:spacing w:before="20" w:after="20"/>
        <w:ind w:left="567"/>
      </w:pPr>
      <w:r>
        <w:rPr>
          <w:sz w:val="20"/>
        </w:rPr>
        <w:t xml:space="preserve">  </w:t>
      </w:r>
      <w:r>
        <w:rPr>
          <w:sz w:val="20"/>
        </w:rPr>
        <w:t>Review SSH key-based access configurations</w:t>
      </w:r>
    </w:p>
    <w:p>
      <w:pPr>
        <w:spacing w:before="120" w:after="40"/>
      </w:pPr>
      <w:r>
        <w:rPr>
          <w:b/>
          <w:color w:val="4A90B0"/>
          <w:sz w:val="22"/>
        </w:rPr>
        <w:t>6.3 Security Device Review Checklist</w:t>
      </w:r>
    </w:p>
    <w:p>
      <w:pPr>
        <w:spacing w:before="20" w:after="20"/>
        <w:ind w:left="567"/>
      </w:pPr>
      <w:r>
        <w:rPr>
          <w:sz w:val="20"/>
        </w:rPr>
        <w:t xml:space="preserve">  </w:t>
      </w:r>
      <w:r>
        <w:rPr>
          <w:sz w:val="20"/>
        </w:rPr>
        <w:t>IDS/IPS: Review sensor admin accounts and signature update permissions</w:t>
      </w:r>
    </w:p>
    <w:p>
      <w:pPr>
        <w:spacing w:before="20" w:after="20"/>
        <w:ind w:left="567"/>
      </w:pPr>
      <w:r>
        <w:rPr>
          <w:sz w:val="20"/>
        </w:rPr>
        <w:t xml:space="preserve">  </w:t>
      </w:r>
      <w:r>
        <w:rPr>
          <w:sz w:val="20"/>
        </w:rPr>
        <w:t>SIEM: Review user roles, correlation rules access, and data source admin accounts</w:t>
      </w:r>
    </w:p>
    <w:p>
      <w:pPr>
        <w:spacing w:before="20" w:after="20"/>
        <w:ind w:left="567"/>
      </w:pPr>
      <w:r>
        <w:rPr>
          <w:sz w:val="20"/>
        </w:rPr>
        <w:t xml:space="preserve">  </w:t>
      </w:r>
      <w:r>
        <w:rPr>
          <w:sz w:val="20"/>
        </w:rPr>
        <w:t>DLP: Review policy admin, incident responder, and reporting user accounts</w:t>
      </w:r>
    </w:p>
    <w:p>
      <w:pPr>
        <w:spacing w:before="20" w:after="20"/>
        <w:ind w:left="567"/>
      </w:pPr>
      <w:r>
        <w:rPr>
          <w:sz w:val="20"/>
        </w:rPr>
        <w:t xml:space="preserve">  </w:t>
      </w:r>
      <w:r>
        <w:rPr>
          <w:sz w:val="20"/>
        </w:rPr>
        <w:t>WAF: Review security policy admin and monitoring user accounts</w:t>
      </w:r>
    </w:p>
    <w:p>
      <w:pPr>
        <w:spacing w:before="20" w:after="20"/>
        <w:ind w:left="567"/>
      </w:pPr>
      <w:r>
        <w:rPr>
          <w:sz w:val="20"/>
        </w:rPr>
        <w:t xml:space="preserve">  </w:t>
      </w:r>
      <w:r>
        <w:rPr>
          <w:sz w:val="20"/>
        </w:rPr>
        <w:t>VPN: Review user accounts, certificate authorities, and MFA configurations</w:t>
      </w:r>
    </w:p>
    <w:p>
      <w:pPr>
        <w:spacing w:before="160" w:after="60"/>
      </w:pPr>
      <w:r>
        <w:rPr>
          <w:b/>
          <w:color w:val="3A7CA5"/>
          <w:sz w:val="26"/>
        </w:rPr>
        <w:t>7. Escalation Matrix</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3A5C"/>
          </w:tcPr>
          <w:p>
            <w:pPr>
              <w:spacing w:before="40" w:after="40"/>
            </w:pPr>
            <w:r>
              <w:rPr>
                <w:b/>
                <w:color w:val="FFFFFF"/>
                <w:sz w:val="20"/>
              </w:rPr>
            </w:r>
            <w:r>
              <w:rPr>
                <w:b/>
                <w:color w:val="FFFFFF"/>
                <w:sz w:val="20"/>
              </w:rPr>
              <w:t>Condition</w:t>
            </w:r>
          </w:p>
        </w:tc>
        <w:tc>
          <w:tcPr>
            <w:tcW w:type="dxa" w:w="3135"/>
            <w:shd w:fill="1B3A5C"/>
          </w:tcPr>
          <w:p>
            <w:pPr>
              <w:spacing w:before="40" w:after="40"/>
            </w:pPr>
            <w:r>
              <w:rPr>
                <w:b/>
                <w:color w:val="FFFFFF"/>
                <w:sz w:val="20"/>
              </w:rPr>
            </w:r>
            <w:r>
              <w:rPr>
                <w:b/>
                <w:color w:val="FFFFFF"/>
                <w:sz w:val="20"/>
              </w:rPr>
              <w:t>Escalation Level</w:t>
            </w:r>
          </w:p>
        </w:tc>
        <w:tc>
          <w:tcPr>
            <w:tcW w:type="dxa" w:w="3135"/>
            <w:shd w:fill="1B3A5C"/>
          </w:tcPr>
          <w:p>
            <w:pPr>
              <w:spacing w:before="40" w:after="40"/>
            </w:pPr>
            <w:r>
              <w:rPr>
                <w:b/>
                <w:color w:val="FFFFFF"/>
                <w:sz w:val="20"/>
              </w:rPr>
            </w:r>
            <w:r>
              <w:rPr>
                <w:b/>
                <w:color w:val="FFFFFF"/>
                <w:sz w:val="20"/>
              </w:rPr>
              <w:t>Timeframe</w:t>
            </w:r>
          </w:p>
        </w:tc>
      </w:tr>
      <w:tr>
        <w:tc>
          <w:tcPr>
            <w:tcW w:type="dxa" w:w="3135"/>
          </w:tcPr>
          <w:p>
            <w:pPr>
              <w:spacing w:before="40" w:after="40"/>
            </w:pPr>
            <w:r>
              <w:rPr>
                <w:sz w:val="20"/>
              </w:rPr>
            </w:r>
            <w:r>
              <w:rPr>
                <w:sz w:val="20"/>
              </w:rPr>
              <w:t>Review not started by due date</w:t>
            </w:r>
          </w:p>
        </w:tc>
        <w:tc>
          <w:tcPr>
            <w:tcW w:type="dxa" w:w="3135"/>
          </w:tcPr>
          <w:p>
            <w:pPr>
              <w:spacing w:before="40" w:after="40"/>
            </w:pPr>
            <w:r>
              <w:rPr>
                <w:sz w:val="20"/>
              </w:rPr>
            </w:r>
            <w:r>
              <w:rPr>
                <w:sz w:val="20"/>
              </w:rPr>
              <w:t>Level 1 - CISO</w:t>
            </w:r>
          </w:p>
        </w:tc>
        <w:tc>
          <w:tcPr>
            <w:tcW w:type="dxa" w:w="3135"/>
          </w:tcPr>
          <w:p>
            <w:pPr>
              <w:spacing w:before="40" w:after="40"/>
            </w:pPr>
            <w:r>
              <w:rPr>
                <w:sz w:val="20"/>
              </w:rPr>
            </w:r>
            <w:r>
              <w:rPr>
                <w:sz w:val="20"/>
              </w:rPr>
              <w:t>+2 days</w:t>
            </w:r>
          </w:p>
        </w:tc>
      </w:tr>
      <w:tr>
        <w:tc>
          <w:tcPr>
            <w:tcW w:type="dxa" w:w="3135"/>
            <w:shd w:fill="F2F7FB"/>
          </w:tcPr>
          <w:p>
            <w:pPr>
              <w:spacing w:before="40" w:after="40"/>
            </w:pPr>
            <w:r>
              <w:rPr>
                <w:sz w:val="20"/>
              </w:rPr>
            </w:r>
            <w:r>
              <w:rPr>
                <w:sz w:val="20"/>
              </w:rPr>
              <w:t>Remediation not completed</w:t>
            </w:r>
          </w:p>
        </w:tc>
        <w:tc>
          <w:tcPr>
            <w:tcW w:type="dxa" w:w="3135"/>
            <w:shd w:fill="F2F7FB"/>
          </w:tcPr>
          <w:p>
            <w:pPr>
              <w:spacing w:before="40" w:after="40"/>
            </w:pPr>
            <w:r>
              <w:rPr>
                <w:sz w:val="20"/>
              </w:rPr>
            </w:r>
            <w:r>
              <w:rPr>
                <w:sz w:val="20"/>
              </w:rPr>
              <w:t>Level 2 - IT Head</w:t>
            </w:r>
          </w:p>
        </w:tc>
        <w:tc>
          <w:tcPr>
            <w:tcW w:type="dxa" w:w="3135"/>
            <w:shd w:fill="F2F7FB"/>
          </w:tcPr>
          <w:p>
            <w:pPr>
              <w:spacing w:before="40" w:after="40"/>
            </w:pPr>
            <w:r>
              <w:rPr>
                <w:sz w:val="20"/>
              </w:rPr>
            </w:r>
            <w:r>
              <w:rPr>
                <w:sz w:val="20"/>
              </w:rPr>
              <w:t>+5 days</w:t>
            </w:r>
          </w:p>
        </w:tc>
      </w:tr>
      <w:tr>
        <w:tc>
          <w:tcPr>
            <w:tcW w:type="dxa" w:w="3135"/>
          </w:tcPr>
          <w:p>
            <w:pPr>
              <w:spacing w:before="40" w:after="40"/>
            </w:pPr>
            <w:r>
              <w:rPr>
                <w:sz w:val="20"/>
              </w:rPr>
            </w:r>
            <w:r>
              <w:rPr>
                <w:sz w:val="20"/>
              </w:rPr>
              <w:t>Repeated non-compliance</w:t>
            </w:r>
          </w:p>
        </w:tc>
        <w:tc>
          <w:tcPr>
            <w:tcW w:type="dxa" w:w="3135"/>
          </w:tcPr>
          <w:p>
            <w:pPr>
              <w:spacing w:before="40" w:after="40"/>
            </w:pPr>
            <w:r>
              <w:rPr>
                <w:sz w:val="20"/>
              </w:rPr>
            </w:r>
            <w:r>
              <w:rPr>
                <w:sz w:val="20"/>
              </w:rPr>
              <w:t>Level 3 - CEO</w:t>
            </w:r>
          </w:p>
        </w:tc>
        <w:tc>
          <w:tcPr>
            <w:tcW w:type="dxa" w:w="3135"/>
          </w:tcPr>
          <w:p>
            <w:pPr>
              <w:spacing w:before="40" w:after="40"/>
            </w:pPr>
            <w:r>
              <w:rPr>
                <w:sz w:val="20"/>
              </w:rPr>
            </w:r>
            <w:r>
              <w:rPr>
                <w:sz w:val="20"/>
              </w:rPr>
              <w:t>+10 days</w:t>
            </w:r>
          </w:p>
        </w:tc>
      </w:tr>
    </w:tbl>
    <w:p/>
    <w:p>
      <w:pPr>
        <w:spacing w:before="160" w:after="60"/>
      </w:pPr>
      <w:r>
        <w:rPr>
          <w:b/>
          <w:color w:val="3A7CA5"/>
          <w:sz w:val="26"/>
        </w:rPr>
        <w:t>8. Compliance and Audit</w:t>
      </w:r>
    </w:p>
    <w:p>
      <w:pPr>
        <w:spacing w:before="20" w:after="20"/>
      </w:pPr>
      <w:r>
        <w:rPr>
          <w:sz w:val="20"/>
        </w:rPr>
        <w:t>1. Compliance with this SOP shall be tracked on a quarterly basis.</w:t>
      </w:r>
    </w:p>
    <w:p>
      <w:pPr>
        <w:spacing w:before="20" w:after="20"/>
      </w:pPr>
      <w:r>
        <w:rPr>
          <w:sz w:val="20"/>
        </w:rPr>
        <w:t>2. Non-adherence shall be reported to the Risk Management Committee.</w:t>
      </w:r>
    </w:p>
    <w:p>
      <w:pPr>
        <w:spacing w:before="20" w:after="20"/>
      </w:pPr>
      <w:r>
        <w:rPr>
          <w:sz w:val="20"/>
        </w:rPr>
        <w:t>3. Internal Audit shall conduct independent testing of access reviews on a half-yearly basis.</w:t>
      </w:r>
    </w:p>
    <w:p>
      <w:pPr>
        <w:spacing w:before="20" w:after="20"/>
      </w:pPr>
      <w:r>
        <w:rPr>
          <w:sz w:val="20"/>
        </w:rPr>
        <w:t>4. Observations from audits shall be remediated within 30 days.</w:t>
      </w:r>
    </w:p>
    <w:p>
      <w:pPr>
        <w:spacing w:before="160" w:after="60"/>
      </w:pPr>
      <w:r>
        <w:rPr>
          <w:b/>
          <w:color w:val="3A7CA5"/>
          <w:sz w:val="26"/>
        </w:rPr>
        <w:t>9. Document Control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3A5C"/>
          </w:tcPr>
          <w:p>
            <w:pPr>
              <w:spacing w:before="40" w:after="40"/>
            </w:pPr>
            <w:r>
              <w:rPr>
                <w:b/>
                <w:color w:val="FFFFFF"/>
                <w:sz w:val="20"/>
              </w:rPr>
            </w:r>
            <w:r>
              <w:rPr>
                <w:b/>
                <w:color w:val="FFFFFF"/>
                <w:sz w:val="20"/>
              </w:rPr>
              <w:t>Version</w:t>
            </w:r>
          </w:p>
        </w:tc>
        <w:tc>
          <w:tcPr>
            <w:tcW w:type="dxa" w:w="2351"/>
            <w:shd w:fill="1B3A5C"/>
          </w:tcPr>
          <w:p>
            <w:pPr>
              <w:spacing w:before="40" w:after="40"/>
            </w:pPr>
            <w:r>
              <w:rPr>
                <w:b/>
                <w:color w:val="FFFFFF"/>
                <w:sz w:val="20"/>
              </w:rPr>
            </w:r>
            <w:r>
              <w:rPr>
                <w:b/>
                <w:color w:val="FFFFFF"/>
                <w:sz w:val="20"/>
              </w:rPr>
              <w:t>Date</w:t>
            </w:r>
          </w:p>
        </w:tc>
        <w:tc>
          <w:tcPr>
            <w:tcW w:type="dxa" w:w="2351"/>
            <w:shd w:fill="1B3A5C"/>
          </w:tcPr>
          <w:p>
            <w:pPr>
              <w:spacing w:before="40" w:after="40"/>
            </w:pPr>
            <w:r>
              <w:rPr>
                <w:b/>
                <w:color w:val="FFFFFF"/>
                <w:sz w:val="20"/>
              </w:rPr>
            </w:r>
            <w:r>
              <w:rPr>
                <w:b/>
                <w:color w:val="FFFFFF"/>
                <w:sz w:val="20"/>
              </w:rPr>
              <w:t>Author</w:t>
            </w:r>
          </w:p>
        </w:tc>
        <w:tc>
          <w:tcPr>
            <w:tcW w:type="dxa" w:w="2351"/>
            <w:shd w:fill="1B3A5C"/>
          </w:tcPr>
          <w:p>
            <w:pPr>
              <w:spacing w:before="40" w:after="40"/>
            </w:pPr>
            <w:r>
              <w:rPr>
                <w:b/>
                <w:color w:val="FFFFFF"/>
                <w:sz w:val="20"/>
              </w:rPr>
            </w:r>
            <w:r>
              <w:rPr>
                <w:b/>
                <w:color w:val="FFFFFF"/>
                <w:sz w:val="20"/>
              </w:rPr>
              <w:t>Change Description</w:t>
            </w:r>
          </w:p>
        </w:tc>
      </w:tr>
      <w:tr>
        <w:tc>
          <w:tcPr>
            <w:tcW w:type="dxa" w:w="2351"/>
          </w:tcPr>
          <w:p>
            <w:pPr>
              <w:spacing w:before="40" w:after="40"/>
            </w:pPr>
            <w:r>
              <w:rPr>
                <w:sz w:val="20"/>
              </w:rPr>
            </w:r>
            <w:r>
              <w:rPr>
                <w:sz w:val="20"/>
              </w:rPr>
              <w:t>1.0</w:t>
            </w:r>
          </w:p>
        </w:tc>
        <w:tc>
          <w:tcPr>
            <w:tcW w:type="dxa" w:w="2351"/>
          </w:tcPr>
          <w:p>
            <w:pPr>
              <w:spacing w:before="40" w:after="40"/>
            </w:pPr>
            <w:r>
              <w:rPr>
                <w:sz w:val="20"/>
              </w:rPr>
            </w:r>
            <w:r>
              <w:rPr>
                <w:sz w:val="20"/>
              </w:rPr>
              <w:t>01-Jun-2026</w:t>
            </w:r>
          </w:p>
        </w:tc>
        <w:tc>
          <w:tcPr>
            <w:tcW w:type="dxa" w:w="2351"/>
          </w:tcPr>
          <w:p>
            <w:pPr>
              <w:spacing w:before="40" w:after="40"/>
            </w:pPr>
            <w:r>
              <w:rPr>
                <w:sz w:val="20"/>
              </w:rPr>
            </w:r>
            <w:r>
              <w:rPr>
                <w:sz w:val="20"/>
              </w:rPr>
              <w:t>CISO</w:t>
            </w:r>
          </w:p>
        </w:tc>
        <w:tc>
          <w:tcPr>
            <w:tcW w:type="dxa" w:w="2351"/>
          </w:tcPr>
          <w:p>
            <w:pPr>
              <w:spacing w:before="40" w:after="40"/>
            </w:pPr>
            <w:r>
              <w:rPr>
                <w:sz w:val="20"/>
              </w:rPr>
            </w:r>
            <w:r>
              <w:rPr>
                <w:sz w:val="20"/>
              </w:rPr>
              <w:t>Initial release</w:t>
            </w:r>
          </w:p>
        </w:tc>
      </w:tr>
    </w:tbl>
    <w:p/>
    <w:p>
      <w:pPr>
        <w:spacing w:before="120" w:after="40"/>
      </w:pPr>
      <w:r>
        <w:rPr>
          <w:b/>
          <w:color w:val="4A90B0"/>
          <w:sz w:val="22"/>
        </w:rPr>
        <w:t>END OF DOCUMENT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