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Vendor Management Policy</w:t>
      </w:r>
    </w:p>
    <w:p>
      <w:pPr>
        <w:spacing w:before="20" w:after="20"/>
      </w:pPr>
      <w:r>
        <w:rPr>
          <w:b/>
          <w:sz w:val="20"/>
        </w:rPr>
        <w:t>Document Reference:</w:t>
      </w:r>
      <w:r>
        <w:rPr>
          <w:sz w:val="20"/>
        </w:rPr>
        <w:t xml:space="preserve"> DI-09-01</w:t>
      </w:r>
    </w:p>
    <w:p>
      <w:pPr>
        <w:spacing w:before="20" w:after="20"/>
      </w:pPr>
      <w:r>
        <w:rPr>
          <w:b/>
          <w:sz w:val="20"/>
        </w:rPr>
        <w:t>Version:</w:t>
      </w:r>
      <w:r>
        <w:rPr>
          <w:sz w:val="20"/>
        </w:rPr>
        <w:t xml:space="preserve"> 1.0</w:t>
      </w:r>
    </w:p>
    <w:p>
      <w:pPr>
        <w:spacing w:before="20" w:after="20"/>
      </w:pPr>
      <w:r>
        <w:rPr>
          <w:b/>
          <w:sz w:val="20"/>
        </w:rPr>
        <w:t>Effective Date:</w:t>
      </w:r>
      <w:r>
        <w:rPr>
          <w:sz w:val="20"/>
        </w:rPr>
        <w:t xml:space="preserve"> 01-June-2026</w:t>
      </w:r>
    </w:p>
    <w:p>
      <w:pPr>
        <w:spacing w:before="20" w:after="20"/>
      </w:pPr>
      <w:r>
        <w:rPr>
          <w:b/>
          <w:sz w:val="20"/>
        </w:rPr>
        <w:t>Classification:</w:t>
      </w:r>
      <w:r>
        <w:rPr>
          <w:sz w:val="20"/>
        </w:rPr>
        <w:t xml:space="preserve"> Confidential</w:t>
      </w:r>
    </w:p>
    <w:p>
      <w:pPr>
        <w:spacing w:before="20" w:after="20"/>
      </w:pPr>
      <w:r>
        <w:rPr>
          <w:b/>
          <w:sz w:val="20"/>
        </w:rPr>
        <w:t>Owner:</w:t>
      </w:r>
      <w:r>
        <w:rPr>
          <w:sz w:val="20"/>
        </w:rPr>
        <w:t xml:space="preserve"> Chief Procurement Officer (CPO) / CISO</w:t>
      </w:r>
    </w:p>
    <w:p>
      <w:pPr>
        <w:spacing w:before="160" w:after="60"/>
      </w:pPr>
      <w:r>
        <w:rPr>
          <w:b/>
          <w:color w:val="3A7CA5"/>
          <w:sz w:val="26"/>
        </w:rPr>
        <w:t>1. Purpose</w:t>
      </w:r>
    </w:p>
    <w:p>
      <w:pPr>
        <w:spacing w:before="20" w:after="20"/>
      </w:pPr>
      <w:r>
        <w:rPr>
          <w:sz w:val="20"/>
        </w:rPr>
        <w:t>This Vendor Management Policy establishes a comprehensive framework for the onboarding, management, monitoring, and offboarding of all IT and IT-enabled service providers engaged by Bharat Mercantile Bank Limited. This policy ensures that vendor relationships are governed by appropriate contractual safeguards including Non-Disclosure Agreements (NDAs) and Service Level Agreements (SLAs), and that all engagements comply with regulatory requirements set forth by the Reserve Bank of India (RBI).</w:t>
      </w:r>
    </w:p>
    <w:p>
      <w:pPr>
        <w:spacing w:before="160" w:after="60"/>
      </w:pPr>
      <w:r>
        <w:rPr>
          <w:b/>
          <w:color w:val="3A7CA5"/>
          <w:sz w:val="26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IT service providers, consultants, contractors, and outsourcing partners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cloud service providers (IaaS, PaaS, SaaS)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hardware and software vendors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managed security service providers (MSSP)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system integrators and implementation partners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third-party data processing and storage providers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vendors currently engaged, under procurement, or under termination</w:t>
      </w:r>
    </w:p>
    <w:p>
      <w:pPr>
        <w:spacing w:before="160" w:after="60"/>
      </w:pPr>
      <w:r>
        <w:rPr>
          <w:b/>
          <w:color w:val="3A7CA5"/>
          <w:sz w:val="26"/>
        </w:rPr>
        <w:t>3. Policy Statements</w:t>
      </w:r>
    </w:p>
    <w:p>
      <w:pPr>
        <w:spacing w:before="120" w:after="40"/>
      </w:pPr>
      <w:r>
        <w:rPr>
          <w:b/>
          <w:color w:val="4A90B0"/>
          <w:sz w:val="22"/>
        </w:rPr>
        <w:t>3.1 Pre-Onboarding Due Diligence</w:t>
      </w:r>
    </w:p>
    <w:p>
      <w:pPr>
        <w:spacing w:before="20" w:after="20"/>
      </w:pPr>
      <w:r>
        <w:rPr>
          <w:sz w:val="20"/>
        </w:rPr>
        <w:t>1. All prospective vendors shall undergo a comprehensive due diligence assessment prior to onboarding.</w:t>
      </w:r>
    </w:p>
    <w:p>
      <w:pPr>
        <w:spacing w:before="20" w:after="20"/>
      </w:pPr>
      <w:r>
        <w:rPr>
          <w:sz w:val="20"/>
        </w:rPr>
        <w:t>2. The due diligence shall include:</w:t>
      </w:r>
    </w:p>
    <w:p>
      <w:pPr>
        <w:spacing w:before="20" w:after="20"/>
      </w:pPr>
      <w:r>
        <w:rPr>
          <w:sz w:val="20"/>
        </w:rPr>
        <w:t>a. Business background and financial stability assessment</w:t>
      </w:r>
    </w:p>
    <w:p>
      <w:pPr>
        <w:spacing w:before="20" w:after="20"/>
      </w:pPr>
      <w:r>
        <w:rPr>
          <w:sz w:val="20"/>
        </w:rPr>
        <w:t>b. Regulatory compliance status (e.g., ISO 27001, SOC 2, GDPR)</w:t>
      </w:r>
    </w:p>
    <w:p>
      <w:pPr>
        <w:spacing w:before="20" w:after="20"/>
      </w:pPr>
      <w:r>
        <w:rPr>
          <w:sz w:val="20"/>
        </w:rPr>
        <w:t>c. Data security and privacy practices review</w:t>
      </w:r>
    </w:p>
    <w:p>
      <w:pPr>
        <w:spacing w:before="20" w:after="20"/>
      </w:pPr>
      <w:r>
        <w:rPr>
          <w:sz w:val="20"/>
        </w:rPr>
        <w:t>d. Business continuity and disaster recovery capabilities</w:t>
      </w:r>
    </w:p>
    <w:p>
      <w:pPr>
        <w:spacing w:before="20" w:after="20"/>
      </w:pPr>
      <w:r>
        <w:rPr>
          <w:sz w:val="20"/>
        </w:rPr>
        <w:t>e. Past litigation and regulatory action history</w:t>
      </w:r>
    </w:p>
    <w:p>
      <w:pPr>
        <w:spacing w:before="20" w:after="20"/>
      </w:pPr>
      <w:r>
        <w:rPr>
          <w:sz w:val="20"/>
        </w:rPr>
        <w:t>f. Reference checks from existing clients in the banking sector</w:t>
      </w:r>
    </w:p>
    <w:p>
      <w:pPr>
        <w:spacing w:before="20" w:after="20"/>
      </w:pPr>
      <w:r>
        <w:rPr>
          <w:sz w:val="20"/>
        </w:rPr>
        <w:t>3. A risk classification (High / Medium / Low) shall be assigned based on the due diligence findings.</w:t>
      </w:r>
    </w:p>
    <w:p>
      <w:pPr>
        <w:spacing w:before="20" w:after="20"/>
      </w:pPr>
      <w:r>
        <w:rPr>
          <w:sz w:val="20"/>
        </w:rPr>
        <w:t>4. High-risk vendors shall require enhanced due diligence and approval from the Risk Management Committee.</w:t>
      </w:r>
    </w:p>
    <w:p>
      <w:pPr>
        <w:spacing w:before="120" w:after="40"/>
      </w:pPr>
      <w:r>
        <w:rPr>
          <w:b/>
          <w:color w:val="4A90B0"/>
          <w:sz w:val="22"/>
        </w:rPr>
        <w:t>3.2 Non-Disclosure Agreement (NDA) Requirements</w:t>
      </w:r>
    </w:p>
    <w:p>
      <w:pPr>
        <w:spacing w:before="20" w:after="20"/>
      </w:pPr>
      <w:r>
        <w:rPr>
          <w:sz w:val="20"/>
        </w:rPr>
        <w:t>1. A signed NDA shall be on record for every vendor before any sensitive information is shared.</w:t>
      </w:r>
    </w:p>
    <w:p>
      <w:pPr>
        <w:spacing w:before="20" w:after="20"/>
      </w:pPr>
      <w:r>
        <w:rPr>
          <w:sz w:val="20"/>
        </w:rPr>
        <w:t>2. The NDA shall, at minimum, cover:</w:t>
      </w:r>
    </w:p>
    <w:p>
      <w:pPr>
        <w:spacing w:before="20" w:after="20"/>
      </w:pPr>
      <w:r>
        <w:rPr>
          <w:sz w:val="20"/>
        </w:rPr>
        <w:t>a. Definition of confidential information</w:t>
      </w:r>
    </w:p>
    <w:p>
      <w:pPr>
        <w:spacing w:before="20" w:after="20"/>
      </w:pPr>
      <w:r>
        <w:rPr>
          <w:sz w:val="20"/>
        </w:rPr>
        <w:t>b. Obligations of the receiving party</w:t>
      </w:r>
    </w:p>
    <w:p>
      <w:pPr>
        <w:spacing w:before="20" w:after="20"/>
      </w:pPr>
      <w:r>
        <w:rPr>
          <w:sz w:val="20"/>
        </w:rPr>
        <w:t>c. Permitted use and disclosure limitations</w:t>
      </w:r>
    </w:p>
    <w:p>
      <w:pPr>
        <w:spacing w:before="20" w:after="20"/>
      </w:pPr>
      <w:r>
        <w:rPr>
          <w:sz w:val="20"/>
        </w:rPr>
        <w:t>d. Data protection and security requirements</w:t>
      </w:r>
    </w:p>
    <w:p>
      <w:pPr>
        <w:spacing w:before="20" w:after="20"/>
      </w:pPr>
      <w:r>
        <w:rPr>
          <w:sz w:val="20"/>
        </w:rPr>
        <w:t>e. Term of confidentiality (minimum 3 years from contract termination)</w:t>
      </w:r>
    </w:p>
    <w:p>
      <w:pPr>
        <w:spacing w:before="20" w:after="20"/>
      </w:pPr>
      <w:r>
        <w:rPr>
          <w:sz w:val="20"/>
        </w:rPr>
        <w:t>f. Breach notification obligations</w:t>
      </w:r>
    </w:p>
    <w:p>
      <w:pPr>
        <w:spacing w:before="20" w:after="20"/>
      </w:pPr>
      <w:r>
        <w:rPr>
          <w:sz w:val="20"/>
        </w:rPr>
        <w:t>g. Jurisdiction and governing law (India)</w:t>
      </w:r>
    </w:p>
    <w:p>
      <w:pPr>
        <w:spacing w:before="20" w:after="20"/>
      </w:pPr>
      <w:r>
        <w:rPr>
          <w:sz w:val="20"/>
        </w:rPr>
        <w:t>3. NDAs shall be reviewed and approved by the Legal Department prior to execution.</w:t>
      </w:r>
    </w:p>
    <w:p>
      <w:pPr>
        <w:spacing w:before="20" w:after="20"/>
      </w:pPr>
      <w:r>
        <w:rPr>
          <w:sz w:val="20"/>
        </w:rPr>
        <w:t>4. NDAs shall be maintained in the central Vendor Agreement Register (DI-09-02).</w:t>
      </w:r>
    </w:p>
    <w:p>
      <w:pPr>
        <w:spacing w:before="20" w:after="20"/>
      </w:pPr>
      <w:r>
        <w:rPr>
          <w:sz w:val="20"/>
        </w:rPr>
        <w:t>5. Any vendor found to be operating without a signed NDA shall be suspended immediately until compliance is achieved.</w:t>
      </w:r>
    </w:p>
    <w:p>
      <w:pPr>
        <w:spacing w:before="120" w:after="40"/>
      </w:pPr>
      <w:r>
        <w:rPr>
          <w:b/>
          <w:color w:val="4A90B0"/>
          <w:sz w:val="22"/>
        </w:rPr>
        <w:t>3.3 Service Level Agreement (SLA) Requirements</w:t>
      </w:r>
    </w:p>
    <w:p>
      <w:pPr>
        <w:spacing w:before="20" w:after="20"/>
      </w:pPr>
      <w:r>
        <w:rPr>
          <w:sz w:val="20"/>
        </w:rPr>
        <w:t>1. A formal SLA shall be executed with every material IT service provider.</w:t>
      </w:r>
    </w:p>
    <w:p>
      <w:pPr>
        <w:spacing w:before="20" w:after="20"/>
      </w:pPr>
      <w:r>
        <w:rPr>
          <w:sz w:val="20"/>
        </w:rPr>
        <w:t>2. The SLA shall define:</w:t>
      </w:r>
    </w:p>
    <w:p>
      <w:pPr>
        <w:spacing w:before="20" w:after="20"/>
      </w:pPr>
      <w:r>
        <w:rPr>
          <w:sz w:val="20"/>
        </w:rPr>
        <w:t>a. Scope of services and deliverables</w:t>
      </w:r>
    </w:p>
    <w:p>
      <w:pPr>
        <w:spacing w:before="20" w:after="20"/>
      </w:pPr>
      <w:r>
        <w:rPr>
          <w:sz w:val="20"/>
        </w:rPr>
        <w:t>b. Service level targets and metrics (availability, response time, resolution time)</w:t>
      </w:r>
    </w:p>
    <w:p>
      <w:pPr>
        <w:spacing w:before="20" w:after="20"/>
      </w:pPr>
      <w:r>
        <w:rPr>
          <w:sz w:val="20"/>
        </w:rPr>
        <w:t>c. Measurement and reporting methodology</w:t>
      </w:r>
    </w:p>
    <w:p>
      <w:pPr>
        <w:spacing w:before="20" w:after="20"/>
      </w:pPr>
      <w:r>
        <w:rPr>
          <w:sz w:val="20"/>
        </w:rPr>
        <w:t>d. Escalation matrix and governance structure</w:t>
      </w:r>
    </w:p>
    <w:p>
      <w:pPr>
        <w:spacing w:before="20" w:after="20"/>
      </w:pPr>
      <w:r>
        <w:rPr>
          <w:sz w:val="20"/>
        </w:rPr>
        <w:t>e. Penalty and remedy provisions for non-compliance</w:t>
      </w:r>
    </w:p>
    <w:p>
      <w:pPr>
        <w:spacing w:before="20" w:after="20"/>
      </w:pPr>
      <w:r>
        <w:rPr>
          <w:sz w:val="20"/>
        </w:rPr>
        <w:t>f. Force majeure and business continuity provisions</w:t>
      </w:r>
    </w:p>
    <w:p>
      <w:pPr>
        <w:spacing w:before="20" w:after="20"/>
      </w:pPr>
      <w:r>
        <w:rPr>
          <w:sz w:val="20"/>
        </w:rPr>
        <w:t>g. Exit management and data return/destruction provisions</w:t>
      </w:r>
    </w:p>
    <w:p>
      <w:pPr>
        <w:spacing w:before="20" w:after="20"/>
      </w:pPr>
      <w:r>
        <w:rPr>
          <w:sz w:val="20"/>
        </w:rPr>
        <w:t>h. Right to audit clause</w:t>
      </w:r>
    </w:p>
    <w:p>
      <w:pPr>
        <w:spacing w:before="20" w:after="20"/>
      </w:pPr>
      <w:r>
        <w:rPr>
          <w:sz w:val="20"/>
        </w:rPr>
        <w:t>i. Sub-contracting restrictions</w:t>
      </w:r>
    </w:p>
    <w:p>
      <w:pPr>
        <w:spacing w:before="20" w:after="20"/>
      </w:pPr>
      <w:r>
        <w:rPr>
          <w:sz w:val="20"/>
        </w:rPr>
        <w:t>3. SLAs shall be reviewed at least annually and updated as necessary.</w:t>
      </w:r>
    </w:p>
    <w:p>
      <w:pPr>
        <w:spacing w:before="20" w:after="20"/>
      </w:pPr>
      <w:r>
        <w:rPr>
          <w:sz w:val="20"/>
        </w:rPr>
        <w:t>4. SLA compliance shall be monitored monthly and reported quarterly to the IT Strategy Committee.</w:t>
      </w:r>
    </w:p>
    <w:p>
      <w:pPr>
        <w:spacing w:before="120" w:after="40"/>
      </w:pPr>
      <w:r>
        <w:rPr>
          <w:b/>
          <w:color w:val="4A90B0"/>
          <w:sz w:val="22"/>
        </w:rPr>
        <w:t>3.4 Vendor Risk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Direct impact on customer data, core banking systems, or regulatory compliance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Core banking solution provider, cloud infrastructure provider, DC/DR operations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Access to sensitive customer data or significant operational impact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support services, network provider, payment gateway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Limited data access, moderate operational impact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Software license providers, hardware maintenance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data access, minimal operational impact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Office supplies, general consulting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3.5 Vendor Governance</w:t>
      </w:r>
    </w:p>
    <w:p>
      <w:pPr>
        <w:spacing w:before="20" w:after="20"/>
      </w:pPr>
      <w:r>
        <w:rPr>
          <w:sz w:val="20"/>
        </w:rPr>
        <w:t>1. A Vendor Governance Committee shall be formed comprising representatives from:</w:t>
      </w:r>
    </w:p>
    <w:p>
      <w:pPr>
        <w:spacing w:before="20" w:after="20"/>
      </w:pPr>
      <w:r>
        <w:rPr>
          <w:sz w:val="20"/>
        </w:rPr>
        <w:t>a. Procurement</w:t>
      </w:r>
    </w:p>
    <w:p>
      <w:pPr>
        <w:spacing w:before="20" w:after="20"/>
      </w:pPr>
      <w:r>
        <w:rPr>
          <w:sz w:val="20"/>
        </w:rPr>
        <w:t>b. Information Security</w:t>
      </w:r>
    </w:p>
    <w:p>
      <w:pPr>
        <w:spacing w:before="20" w:after="20"/>
      </w:pPr>
      <w:r>
        <w:rPr>
          <w:sz w:val="20"/>
        </w:rPr>
        <w:t>c. Legal</w:t>
      </w:r>
    </w:p>
    <w:p>
      <w:pPr>
        <w:spacing w:before="20" w:after="20"/>
      </w:pPr>
      <w:r>
        <w:rPr>
          <w:sz w:val="20"/>
        </w:rPr>
        <w:t>d. Compliance</w:t>
      </w:r>
    </w:p>
    <w:p>
      <w:pPr>
        <w:spacing w:before="20" w:after="20"/>
      </w:pPr>
      <w:r>
        <w:rPr>
          <w:sz w:val="20"/>
        </w:rPr>
        <w:t>e. Business Operations</w:t>
      </w:r>
    </w:p>
    <w:p>
      <w:pPr>
        <w:spacing w:before="20" w:after="20"/>
      </w:pPr>
      <w:r>
        <w:rPr>
          <w:sz w:val="20"/>
        </w:rPr>
        <w:t>f. Finance</w:t>
      </w:r>
    </w:p>
    <w:p>
      <w:pPr>
        <w:spacing w:before="20" w:after="20"/>
      </w:pPr>
      <w:r>
        <w:rPr>
          <w:sz w:val="20"/>
        </w:rPr>
        <w:t>2. The committee shall meet quarterly to review vendor performance, compliance, and risk status.</w:t>
      </w:r>
    </w:p>
    <w:p>
      <w:pPr>
        <w:spacing w:before="20" w:after="20"/>
      </w:pPr>
      <w:r>
        <w:rPr>
          <w:sz w:val="20"/>
        </w:rPr>
        <w:t>3. A vendor relationship manager shall be assigned for each critical and high-risk vendor.</w:t>
      </w:r>
    </w:p>
    <w:p>
      <w:pPr>
        <w:spacing w:before="20" w:after="20"/>
      </w:pPr>
      <w:r>
        <w:rPr>
          <w:sz w:val="20"/>
        </w:rPr>
        <w:t>4. Annual performance reviews shall be conducted for all material vendors.</w:t>
      </w:r>
    </w:p>
    <w:p>
      <w:pPr>
        <w:spacing w:before="120" w:after="40"/>
      </w:pPr>
      <w:r>
        <w:rPr>
          <w:b/>
          <w:color w:val="4A90B0"/>
          <w:sz w:val="22"/>
        </w:rPr>
        <w:t>3.6 Vendor Audits and Assessments</w:t>
      </w:r>
    </w:p>
    <w:p>
      <w:pPr>
        <w:spacing w:before="20" w:after="20"/>
      </w:pPr>
      <w:r>
        <w:rPr>
          <w:sz w:val="20"/>
        </w:rPr>
        <w:t>1. Critical and high-risk vendors shall be subject to annual on-site or remote audits.</w:t>
      </w:r>
    </w:p>
    <w:p>
      <w:pPr>
        <w:spacing w:before="20" w:after="20"/>
      </w:pPr>
      <w:r>
        <w:rPr>
          <w:sz w:val="20"/>
        </w:rPr>
        <w:t>2. Vendors shall provide evidence of compliance with contractual security requirements.</w:t>
      </w:r>
    </w:p>
    <w:p>
      <w:pPr>
        <w:spacing w:before="20" w:after="20"/>
      </w:pPr>
      <w:r>
        <w:rPr>
          <w:sz w:val="20"/>
        </w:rPr>
        <w:t>3. Self-assessment questionnaires shall be administered annually to all vendors.</w:t>
      </w:r>
    </w:p>
    <w:p>
      <w:pPr>
        <w:spacing w:before="20" w:after="20"/>
      </w:pPr>
      <w:r>
        <w:rPr>
          <w:sz w:val="20"/>
        </w:rPr>
        <w:t>4. Findings from audits shall be tracked to remediation closure.</w:t>
      </w:r>
    </w:p>
    <w:p>
      <w:pPr>
        <w:spacing w:before="120" w:after="40"/>
      </w:pPr>
      <w:r>
        <w:rPr>
          <w:b/>
          <w:color w:val="4A90B0"/>
          <w:sz w:val="22"/>
        </w:rPr>
        <w:t>3.7 Contract Management</w:t>
      </w:r>
    </w:p>
    <w:p>
      <w:pPr>
        <w:spacing w:before="20" w:after="20"/>
      </w:pPr>
      <w:r>
        <w:rPr>
          <w:sz w:val="20"/>
        </w:rPr>
        <w:t>1. All vendor contracts shall be reviewed and approved by the Legal Department.</w:t>
      </w:r>
    </w:p>
    <w:p>
      <w:pPr>
        <w:spacing w:before="20" w:after="20"/>
      </w:pPr>
      <w:r>
        <w:rPr>
          <w:sz w:val="20"/>
        </w:rPr>
        <w:t>2. Contracts shall include:</w:t>
      </w:r>
    </w:p>
    <w:p>
      <w:pPr>
        <w:spacing w:before="20" w:after="20"/>
      </w:pPr>
      <w:r>
        <w:rPr>
          <w:sz w:val="20"/>
        </w:rPr>
        <w:t>a. Data ownership and data processing terms</w:t>
      </w:r>
    </w:p>
    <w:p>
      <w:pPr>
        <w:spacing w:before="20" w:after="20"/>
      </w:pPr>
      <w:r>
        <w:rPr>
          <w:sz w:val="20"/>
        </w:rPr>
        <w:t>b. Data localization requirements (as per RBI guidelines)</w:t>
      </w:r>
    </w:p>
    <w:p>
      <w:pPr>
        <w:spacing w:before="20" w:after="20"/>
      </w:pPr>
      <w:r>
        <w:rPr>
          <w:sz w:val="20"/>
        </w:rPr>
        <w:t>c. Sub-contracting restrictions and notification requirements</w:t>
      </w:r>
    </w:p>
    <w:p>
      <w:pPr>
        <w:spacing w:before="20" w:after="20"/>
      </w:pPr>
      <w:r>
        <w:rPr>
          <w:sz w:val="20"/>
        </w:rPr>
        <w:t>d. Termination for convenience and for cause</w:t>
      </w:r>
    </w:p>
    <w:p>
      <w:pPr>
        <w:spacing w:before="20" w:after="20"/>
      </w:pPr>
      <w:r>
        <w:rPr>
          <w:sz w:val="20"/>
        </w:rPr>
        <w:t>e. Data return and secure destruction at contract end</w:t>
      </w:r>
    </w:p>
    <w:p>
      <w:pPr>
        <w:spacing w:before="20" w:after="20"/>
      </w:pPr>
      <w:r>
        <w:rPr>
          <w:sz w:val="20"/>
        </w:rPr>
        <w:t>f. Dispute resolution mechanism</w:t>
      </w:r>
    </w:p>
    <w:p>
      <w:pPr>
        <w:spacing w:before="20" w:after="20"/>
      </w:pPr>
      <w:r>
        <w:rPr>
          <w:sz w:val="20"/>
        </w:rPr>
        <w:t>g. Regulatory inspection rights</w:t>
      </w:r>
    </w:p>
    <w:p>
      <w:pPr>
        <w:spacing w:before="20" w:after="20"/>
      </w:pPr>
      <w:r>
        <w:rPr>
          <w:sz w:val="20"/>
        </w:rPr>
        <w:t>3. Contract renewals shall be initiated at least 90 days prior to expiry.</w:t>
      </w:r>
    </w:p>
    <w:p>
      <w:pPr>
        <w:spacing w:before="120" w:after="40"/>
      </w:pPr>
      <w:r>
        <w:rPr>
          <w:b/>
          <w:color w:val="4A90B0"/>
          <w:sz w:val="22"/>
        </w:rPr>
        <w:t>3.8 Offboarding and Exit Management</w:t>
      </w:r>
    </w:p>
    <w:p>
      <w:pPr>
        <w:spacing w:before="20" w:after="20"/>
      </w:pPr>
      <w:r>
        <w:rPr>
          <w:sz w:val="20"/>
        </w:rPr>
        <w:t>1. A formal offboarding plan shall be executed for all terminated vendor engagements.</w:t>
      </w:r>
    </w:p>
    <w:p>
      <w:pPr>
        <w:spacing w:before="20" w:after="20"/>
      </w:pPr>
      <w:r>
        <w:rPr>
          <w:sz w:val="20"/>
        </w:rPr>
        <w:t>2. The offboarding shall include:</w:t>
      </w:r>
    </w:p>
    <w:p>
      <w:pPr>
        <w:spacing w:before="20" w:after="20"/>
      </w:pPr>
      <w:r>
        <w:rPr>
          <w:sz w:val="20"/>
        </w:rPr>
        <w:t>a. Return or secure destruction of bank data</w:t>
      </w:r>
    </w:p>
    <w:p>
      <w:pPr>
        <w:spacing w:before="20" w:after="20"/>
      </w:pPr>
      <w:r>
        <w:rPr>
          <w:sz w:val="20"/>
        </w:rPr>
        <w:t>b. Revocation of system access</w:t>
      </w:r>
    </w:p>
    <w:p>
      <w:pPr>
        <w:spacing w:before="20" w:after="20"/>
      </w:pPr>
      <w:r>
        <w:rPr>
          <w:sz w:val="20"/>
        </w:rPr>
        <w:t>c. Return of physical assets</w:t>
      </w:r>
    </w:p>
    <w:p>
      <w:pPr>
        <w:spacing w:before="20" w:after="20"/>
      </w:pPr>
      <w:r>
        <w:rPr>
          <w:sz w:val="20"/>
        </w:rPr>
        <w:t>d. Final financial settlement</w:t>
      </w:r>
    </w:p>
    <w:p>
      <w:pPr>
        <w:spacing w:before="20" w:after="20"/>
      </w:pPr>
      <w:r>
        <w:rPr>
          <w:sz w:val="20"/>
        </w:rPr>
        <w:t>e. Certificate of data destruction</w:t>
      </w:r>
    </w:p>
    <w:p>
      <w:pPr>
        <w:spacing w:before="20" w:after="20"/>
      </w:pPr>
      <w:r>
        <w:rPr>
          <w:sz w:val="20"/>
        </w:rPr>
        <w:t>3. Offboarding shall be tracked in the Vendor Agreement Register.</w:t>
      </w:r>
    </w:p>
    <w:p>
      <w:pPr>
        <w:spacing w:before="160" w:after="60"/>
      </w:pPr>
      <w:r>
        <w:rPr>
          <w:b/>
          <w:color w:val="3A7CA5"/>
          <w:sz w:val="26"/>
        </w:rPr>
        <w:t>4. Non-Compliance</w:t>
      </w:r>
    </w:p>
    <w:p>
      <w:pPr>
        <w:spacing w:before="20" w:after="20"/>
      </w:pPr>
      <w:r>
        <w:rPr>
          <w:sz w:val="20"/>
        </w:rPr>
        <w:t>1. Any vendor found to be non-compliant with NDA, SLA, or contractual obligations shall be subject to:</w:t>
      </w:r>
    </w:p>
    <w:p>
      <w:pPr>
        <w:spacing w:before="20" w:after="20"/>
      </w:pPr>
      <w:r>
        <w:rPr>
          <w:sz w:val="20"/>
        </w:rPr>
        <w:t>a. Notice of non-compliance with remediation timeline</w:t>
      </w:r>
    </w:p>
    <w:p>
      <w:pPr>
        <w:spacing w:before="20" w:after="20"/>
      </w:pPr>
      <w:r>
        <w:rPr>
          <w:sz w:val="20"/>
        </w:rPr>
        <w:t>b. Penalties as per SLA provisions</w:t>
      </w:r>
    </w:p>
    <w:p>
      <w:pPr>
        <w:spacing w:before="20" w:after="20"/>
      </w:pPr>
      <w:r>
        <w:rPr>
          <w:sz w:val="20"/>
        </w:rPr>
        <w:t>c. Suspension of services if non-compliance persists</w:t>
      </w:r>
    </w:p>
    <w:p>
      <w:pPr>
        <w:spacing w:before="20" w:after="20"/>
      </w:pPr>
      <w:r>
        <w:rPr>
          <w:sz w:val="20"/>
        </w:rPr>
        <w:t>d. Termination of contract for material breach</w:t>
      </w:r>
    </w:p>
    <w:p>
      <w:pPr>
        <w:spacing w:before="20" w:after="20"/>
      </w:pPr>
      <w:r>
        <w:rPr>
          <w:sz w:val="20"/>
        </w:rPr>
        <w:t>2. Internal non-compliance with this policy by bank employees shall be reported to the Chief Risk Officer.</w:t>
      </w:r>
    </w:p>
    <w:p>
      <w:pPr>
        <w:spacing w:before="160" w:after="60"/>
      </w:pPr>
      <w:r>
        <w:rPr>
          <w:b/>
          <w:color w:val="3A7CA5"/>
          <w:sz w:val="26"/>
        </w:rPr>
        <w:t>5. Record Retention</w:t>
      </w:r>
    </w:p>
    <w:p>
      <w:pPr>
        <w:spacing w:before="20" w:after="20"/>
      </w:pPr>
      <w:r>
        <w:rPr>
          <w:sz w:val="20"/>
        </w:rPr>
        <w:t>All vendor-related documentation including NDAs, SLAs, contracts, audit reports, and correspondence shall be retained for a minimum of 7 years after contract termination.</w:t>
      </w:r>
    </w:p>
    <w:p>
      <w:pPr>
        <w:spacing w:before="160" w:after="60"/>
      </w:pPr>
      <w:r>
        <w:rPr>
          <w:b/>
          <w:color w:val="3A7CA5"/>
          <w:sz w:val="26"/>
        </w:rPr>
        <w:t>6. Policy Review</w:t>
      </w:r>
    </w:p>
    <w:p>
      <w:pPr>
        <w:spacing w:before="20" w:after="20"/>
      </w:pPr>
      <w:r>
        <w:rPr>
          <w:sz w:val="20"/>
        </w:rPr>
        <w:t>This policy shall be reviewed annually or upon significant regulatory changes.</w:t>
      </w:r>
    </w:p>
    <w:p>
      <w:pPr>
        <w:spacing w:before="160" w:after="60"/>
      </w:pPr>
      <w:r>
        <w:rPr>
          <w:b/>
          <w:color w:val="3A7CA5"/>
          <w:sz w:val="26"/>
        </w:rPr>
        <w:t>7. Related Documents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Vendor Agreement Register (DI-09-02)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Cloud Service Provider Management Policy (DI-09-03)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Standard NDA Template (DI-09-05)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Information Security Policy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Data Classification and Handling Policy</w:t>
      </w:r>
    </w:p>
    <w:p>
      <w:pPr>
        <w:spacing w:before="160" w:after="60"/>
      </w:pPr>
      <w:r>
        <w:rPr>
          <w:b/>
          <w:color w:val="3A7CA5"/>
          <w:sz w:val="26"/>
        </w:rPr>
        <w:t>8.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01-Jun-2026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CPO / CISO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