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Cloud Service Provider Management Policy</w:t>
      </w:r>
    </w:p>
    <w:p>
      <w:pPr>
        <w:spacing w:before="20" w:after="20"/>
      </w:pPr>
      <w:r>
        <w:rPr>
          <w:b/>
          <w:sz w:val="20"/>
        </w:rPr>
        <w:t>Document Reference:</w:t>
      </w:r>
      <w:r>
        <w:rPr>
          <w:sz w:val="20"/>
        </w:rPr>
        <w:t xml:space="preserve"> DI-09-03</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01-June-2026</w:t>
      </w:r>
    </w:p>
    <w:p>
      <w:pPr>
        <w:spacing w:before="20" w:after="20"/>
      </w:pPr>
      <w:r>
        <w:rPr>
          <w:b/>
          <w:sz w:val="20"/>
        </w:rPr>
        <w:t>Classification:</w:t>
      </w:r>
      <w:r>
        <w:rPr>
          <w:sz w:val="20"/>
        </w:rPr>
        <w:t xml:space="preserve"> Confidential</w:t>
      </w:r>
    </w:p>
    <w:p>
      <w:pPr>
        <w:spacing w:before="20" w:after="20"/>
      </w:pPr>
      <w:r>
        <w:rPr>
          <w:b/>
          <w:sz w:val="20"/>
        </w:rPr>
        <w:t>Owner:</w:t>
      </w:r>
      <w:r>
        <w:rPr>
          <w:sz w:val="20"/>
        </w:rPr>
        <w:t xml:space="preserve"> Chief Technology Officer (CTO) / CISO</w:t>
      </w:r>
    </w:p>
    <w:p>
      <w:pPr>
        <w:spacing w:before="160" w:after="60"/>
      </w:pPr>
      <w:r>
        <w:rPr>
          <w:b/>
          <w:color w:val="3A7CA5"/>
          <w:sz w:val="26"/>
        </w:rPr>
        <w:t>1. Purpose</w:t>
      </w:r>
    </w:p>
    <w:p>
      <w:pPr>
        <w:spacing w:before="20" w:after="20"/>
      </w:pPr>
      <w:r>
        <w:rPr>
          <w:sz w:val="20"/>
        </w:rPr>
        <w:t>This Cloud Service Provider Management Policy establishes a comprehensive framework for the selection, onboarding, governance, monitoring, and exit management of cloud service providers engaged by Bharat Mercantile Bank Limited. This policy directly addresses the risks associated with single cloud provider dependency and mandates a structured approach to multi-cloud strategy, exit planning, and portability to ensure business continuity and regulatory compliance with RBI guidelines.</w:t>
      </w:r>
    </w:p>
    <w:p>
      <w:pPr>
        <w:spacing w:before="160" w:after="60"/>
      </w:pPr>
      <w:r>
        <w:rPr>
          <w:b/>
          <w:color w:val="3A7CA5"/>
          <w:sz w:val="26"/>
        </w:rPr>
        <w:t>2. Scope</w:t>
      </w:r>
    </w:p>
    <w:p>
      <w:pPr>
        <w:spacing w:before="20" w:after="20"/>
      </w:pPr>
      <w:r>
        <w:rPr>
          <w:sz w:val="20"/>
        </w:rPr>
        <w:t>This policy applies to:</w:t>
      </w:r>
    </w:p>
    <w:p>
      <w:pPr>
        <w:spacing w:before="20" w:after="20"/>
        <w:ind w:left="567"/>
      </w:pPr>
      <w:r>
        <w:rPr>
          <w:sz w:val="20"/>
        </w:rPr>
        <w:t xml:space="preserve">  </w:t>
      </w:r>
      <w:r>
        <w:rPr>
          <w:sz w:val="20"/>
        </w:rPr>
        <w:t>All cloud service providers (CSPs) offering IaaS, PaaS, or SaaS to the bank</w:t>
      </w:r>
    </w:p>
    <w:p>
      <w:pPr>
        <w:spacing w:before="20" w:after="20"/>
        <w:ind w:left="567"/>
      </w:pPr>
      <w:r>
        <w:rPr>
          <w:sz w:val="20"/>
        </w:rPr>
        <w:t xml:space="preserve">  </w:t>
      </w:r>
      <w:r>
        <w:rPr>
          <w:sz w:val="20"/>
        </w:rPr>
        <w:t>All customer workloads and data hosted in cloud environments</w:t>
      </w:r>
    </w:p>
    <w:p>
      <w:pPr>
        <w:spacing w:before="20" w:after="20"/>
        <w:ind w:left="567"/>
      </w:pPr>
      <w:r>
        <w:rPr>
          <w:sz w:val="20"/>
        </w:rPr>
        <w:t xml:space="preserve">  </w:t>
      </w:r>
      <w:r>
        <w:rPr>
          <w:sz w:val="20"/>
        </w:rPr>
        <w:t>All bank departments and business units utilizing cloud services</w:t>
      </w:r>
    </w:p>
    <w:p>
      <w:pPr>
        <w:spacing w:before="20" w:after="20"/>
        <w:ind w:left="567"/>
      </w:pPr>
      <w:r>
        <w:rPr>
          <w:sz w:val="20"/>
        </w:rPr>
        <w:t xml:space="preserve">  </w:t>
      </w:r>
      <w:r>
        <w:rPr>
          <w:sz w:val="20"/>
        </w:rPr>
        <w:t>All cloud procurement and contract management activities</w:t>
      </w:r>
    </w:p>
    <w:p>
      <w:pPr>
        <w:spacing w:before="20" w:after="20"/>
        <w:ind w:left="567"/>
      </w:pPr>
      <w:r>
        <w:rPr>
          <w:sz w:val="20"/>
        </w:rPr>
        <w:t xml:space="preserve">  </w:t>
      </w:r>
      <w:r>
        <w:rPr>
          <w:sz w:val="20"/>
        </w:rPr>
        <w:t>All cloud exit, migration, and portability planning activities</w:t>
      </w:r>
    </w:p>
    <w:p>
      <w:pPr>
        <w:spacing w:before="160" w:after="60"/>
      </w:pPr>
      <w:r>
        <w:rPr>
          <w:b/>
          <w:color w:val="3A7CA5"/>
          <w:sz w:val="26"/>
        </w:rPr>
        <w:t>3. Policy Statements</w:t>
      </w:r>
    </w:p>
    <w:p>
      <w:pPr>
        <w:spacing w:before="120" w:after="40"/>
      </w:pPr>
      <w:r>
        <w:rPr>
          <w:b/>
          <w:color w:val="4A90B0"/>
          <w:sz w:val="22"/>
        </w:rPr>
        <w:t>3.1 Multi-Cloud Strategy</w:t>
      </w:r>
    </w:p>
    <w:p>
      <w:pPr>
        <w:spacing w:before="20" w:after="20"/>
      </w:pPr>
      <w:r>
        <w:rPr>
          <w:sz w:val="20"/>
        </w:rPr>
        <w:t>1. Bharat Mercantile Bank Limited shall adopt a multi-cloud strategy to avoid single-provider lock-in and ensure business resilience.</w:t>
      </w:r>
    </w:p>
    <w:p>
      <w:pPr>
        <w:spacing w:before="20" w:after="20"/>
      </w:pPr>
      <w:r>
        <w:rPr>
          <w:sz w:val="20"/>
        </w:rPr>
        <w:t>2. At least two distinct cloud service providers shall be engaged for material customer workloads.</w:t>
      </w:r>
    </w:p>
    <w:p>
      <w:pPr>
        <w:spacing w:before="20" w:after="20"/>
      </w:pPr>
      <w:r>
        <w:rPr>
          <w:sz w:val="20"/>
        </w:rPr>
        <w:t>3. The multi-cloud architecture shall be designed to ensure:</w:t>
      </w:r>
    </w:p>
    <w:p>
      <w:pPr>
        <w:spacing w:before="20" w:after="20"/>
      </w:pPr>
      <w:r>
        <w:rPr>
          <w:sz w:val="20"/>
        </w:rPr>
        <w:t>a. Workload portability across cloud providers</w:t>
      </w:r>
    </w:p>
    <w:p>
      <w:pPr>
        <w:spacing w:before="20" w:after="20"/>
      </w:pPr>
      <w:r>
        <w:rPr>
          <w:sz w:val="20"/>
        </w:rPr>
        <w:t>b. Consistent security controls across all cloud environments</w:t>
      </w:r>
    </w:p>
    <w:p>
      <w:pPr>
        <w:spacing w:before="20" w:after="20"/>
      </w:pPr>
      <w:r>
        <w:rPr>
          <w:sz w:val="20"/>
        </w:rPr>
        <w:t>c. Standardized API and integration patterns</w:t>
      </w:r>
    </w:p>
    <w:p>
      <w:pPr>
        <w:spacing w:before="20" w:after="20"/>
      </w:pPr>
      <w:r>
        <w:rPr>
          <w:sz w:val="20"/>
        </w:rPr>
        <w:t>d. Unified monitoring and management across clouds</w:t>
      </w:r>
    </w:p>
    <w:p>
      <w:pPr>
        <w:spacing w:before="20" w:after="20"/>
      </w:pPr>
      <w:r>
        <w:rPr>
          <w:sz w:val="20"/>
        </w:rPr>
        <w:t>e. Cost optimization through competitive procurement</w:t>
      </w:r>
    </w:p>
    <w:p>
      <w:pPr>
        <w:spacing w:before="20" w:after="20"/>
      </w:pPr>
      <w:r>
        <w:rPr>
          <w:sz w:val="20"/>
        </w:rPr>
        <w:t>4. The primary cloud provider shall not host more than 60% of the bank's total cloud workloads.</w:t>
      </w:r>
    </w:p>
    <w:p>
      <w:pPr>
        <w:spacing w:before="20" w:after="20"/>
      </w:pPr>
      <w:r>
        <w:rPr>
          <w:sz w:val="20"/>
        </w:rPr>
        <w:t>5. Workload distribution across providers shall be reviewed quarterly.</w:t>
      </w:r>
    </w:p>
    <w:p>
      <w:pPr>
        <w:spacing w:before="120" w:after="40"/>
      </w:pPr>
      <w:r>
        <w:rPr>
          <w:b/>
          <w:color w:val="4A90B0"/>
          <w:sz w:val="22"/>
        </w:rPr>
        <w:t>3.2 Cloud Provider Selection and Onboarding</w:t>
      </w:r>
    </w:p>
    <w:p>
      <w:pPr>
        <w:spacing w:before="20" w:after="20"/>
      </w:pPr>
      <w:r>
        <w:rPr>
          <w:sz w:val="20"/>
        </w:rPr>
        <w:t>1. All cloud providers shall undergo a comprehensive due diligence assessment including:</w:t>
      </w:r>
    </w:p>
    <w:p>
      <w:pPr>
        <w:spacing w:before="20" w:after="20"/>
      </w:pPr>
      <w:r>
        <w:rPr>
          <w:sz w:val="20"/>
        </w:rPr>
        <w:t>a. Financial stability and viability assessment</w:t>
      </w:r>
    </w:p>
    <w:p>
      <w:pPr>
        <w:spacing w:before="20" w:after="20"/>
      </w:pPr>
      <w:r>
        <w:rPr>
          <w:sz w:val="20"/>
        </w:rPr>
        <w:t>b. Security certifications (ISO 27001, SOC 2, PCI DSS, etc.)</w:t>
      </w:r>
    </w:p>
    <w:p>
      <w:pPr>
        <w:spacing w:before="20" w:after="20"/>
      </w:pPr>
      <w:r>
        <w:rPr>
          <w:sz w:val="20"/>
        </w:rPr>
        <w:t>c. Data residency and localization capabilities</w:t>
      </w:r>
    </w:p>
    <w:p>
      <w:pPr>
        <w:spacing w:before="20" w:after="20"/>
      </w:pPr>
      <w:r>
        <w:rPr>
          <w:sz w:val="20"/>
        </w:rPr>
        <w:t>d. Regulatory compliance (including RBI guidelines)</w:t>
      </w:r>
    </w:p>
    <w:p>
      <w:pPr>
        <w:spacing w:before="20" w:after="20"/>
      </w:pPr>
      <w:r>
        <w:rPr>
          <w:sz w:val="20"/>
        </w:rPr>
        <w:t>e. Service level commitments and track record</w:t>
      </w:r>
    </w:p>
    <w:p>
      <w:pPr>
        <w:spacing w:before="20" w:after="20"/>
      </w:pPr>
      <w:r>
        <w:rPr>
          <w:sz w:val="20"/>
        </w:rPr>
        <w:t>f. Exit and data portability support</w:t>
      </w:r>
    </w:p>
    <w:p>
      <w:pPr>
        <w:spacing w:before="20" w:after="20"/>
      </w:pPr>
      <w:r>
        <w:rPr>
          <w:sz w:val="20"/>
        </w:rPr>
        <w:t>2. The onboarding shall include:</w:t>
      </w:r>
    </w:p>
    <w:p>
      <w:pPr>
        <w:spacing w:before="20" w:after="20"/>
      </w:pPr>
      <w:r>
        <w:rPr>
          <w:sz w:val="20"/>
        </w:rPr>
        <w:t>a. Technical architecture review</w:t>
      </w:r>
    </w:p>
    <w:p>
      <w:pPr>
        <w:spacing w:before="20" w:after="20"/>
      </w:pPr>
      <w:r>
        <w:rPr>
          <w:sz w:val="20"/>
        </w:rPr>
        <w:t>b. Security baseline validation</w:t>
      </w:r>
    </w:p>
    <w:p>
      <w:pPr>
        <w:spacing w:before="20" w:after="20"/>
      </w:pPr>
      <w:r>
        <w:rPr>
          <w:sz w:val="20"/>
        </w:rPr>
        <w:t>c. Connectivity and integration testing</w:t>
      </w:r>
    </w:p>
    <w:p>
      <w:pPr>
        <w:spacing w:before="20" w:after="20"/>
      </w:pPr>
      <w:r>
        <w:rPr>
          <w:sz w:val="20"/>
        </w:rPr>
        <w:t>d. Disaster recovery validation</w:t>
      </w:r>
    </w:p>
    <w:p>
      <w:pPr>
        <w:spacing w:before="20" w:after="20"/>
      </w:pPr>
      <w:r>
        <w:rPr>
          <w:sz w:val="20"/>
        </w:rPr>
        <w:t>e. Exit readiness assessment</w:t>
      </w:r>
    </w:p>
    <w:p>
      <w:pPr>
        <w:spacing w:before="120" w:after="40"/>
      </w:pPr>
      <w:r>
        <w:rPr>
          <w:b/>
          <w:color w:val="4A90B0"/>
          <w:sz w:val="22"/>
        </w:rPr>
        <w:t>3.3 Customer Workload Management</w:t>
      </w:r>
    </w:p>
    <w:p>
      <w:pPr>
        <w:spacing w:before="20" w:after="20"/>
      </w:pPr>
      <w:r>
        <w:rPr>
          <w:sz w:val="20"/>
        </w:rPr>
        <w:t>1. All customer workloads deployed in the cloud shall be classified as:</w:t>
      </w:r>
    </w:p>
    <w:p>
      <w:pPr>
        <w:spacing w:before="20" w:after="20"/>
      </w:pPr>
      <w:r>
        <w:rPr>
          <w:sz w:val="20"/>
        </w:rPr>
        <w:t>a. Tier 0 - Critical (Core banking, customer data)</w:t>
      </w:r>
    </w:p>
    <w:p>
      <w:pPr>
        <w:spacing w:before="20" w:after="20"/>
      </w:pPr>
      <w:r>
        <w:rPr>
          <w:sz w:val="20"/>
        </w:rPr>
        <w:t>b. Tier 1 - High (Transactional systems, payment processing)</w:t>
      </w:r>
    </w:p>
    <w:p>
      <w:pPr>
        <w:spacing w:before="20" w:after="20"/>
      </w:pPr>
      <w:r>
        <w:rPr>
          <w:sz w:val="20"/>
        </w:rPr>
        <w:t>c. Tier 2 - Medium (Internal applications, analytics)</w:t>
      </w:r>
    </w:p>
    <w:p>
      <w:pPr>
        <w:spacing w:before="20" w:after="20"/>
      </w:pPr>
      <w:r>
        <w:rPr>
          <w:sz w:val="20"/>
        </w:rPr>
        <w:t>d. Tier 3 - Low (Development, testing, collaboration)</w:t>
      </w:r>
    </w:p>
    <w:p>
      <w:pPr>
        <w:spacing w:before="20" w:after="20"/>
      </w:pPr>
      <w:r>
        <w:rPr>
          <w:sz w:val="20"/>
        </w:rPr>
        <w:t>2. Tier 0 and Tier 1 workloads shall be distributed across at least two cloud providers.</w:t>
      </w:r>
    </w:p>
    <w:p>
      <w:pPr>
        <w:spacing w:before="20" w:after="20"/>
      </w:pPr>
      <w:r>
        <w:rPr>
          <w:sz w:val="20"/>
        </w:rPr>
        <w:t>3. All workloads shall be containerized or use infrastructure-as-code for portability.</w:t>
      </w:r>
    </w:p>
    <w:p>
      <w:pPr>
        <w:spacing w:before="20" w:after="20"/>
      </w:pPr>
      <w:r>
        <w:rPr>
          <w:sz w:val="20"/>
        </w:rPr>
        <w:t>4. Workload dependencies on provider-specific services shall be minimized and documented.</w:t>
      </w:r>
    </w:p>
    <w:p>
      <w:pPr>
        <w:spacing w:before="20" w:after="20"/>
      </w:pPr>
      <w:r>
        <w:rPr>
          <w:sz w:val="20"/>
        </w:rPr>
        <w:t>5. Provider lock-in assessment shall be performed for each workload annually.</w:t>
      </w:r>
    </w:p>
    <w:p>
      <w:pPr>
        <w:spacing w:before="120" w:after="40"/>
      </w:pPr>
      <w:r>
        <w:rPr>
          <w:b/>
          <w:color w:val="4A90B0"/>
          <w:sz w:val="22"/>
        </w:rPr>
        <w:t>3.4 Exit and Portability Planning</w:t>
      </w:r>
    </w:p>
    <w:p>
      <w:pPr>
        <w:spacing w:before="20" w:after="20"/>
      </w:pPr>
      <w:r>
        <w:rPr>
          <w:sz w:val="20"/>
        </w:rPr>
        <w:t>1. A documented and tested exit/portability plan shall be maintained for each cloud provider.</w:t>
      </w:r>
    </w:p>
    <w:p>
      <w:pPr>
        <w:spacing w:before="20" w:after="20"/>
      </w:pPr>
      <w:r>
        <w:rPr>
          <w:sz w:val="20"/>
        </w:rPr>
        <w:t>2. The exit plan shall address:</w:t>
      </w:r>
    </w:p>
    <w:p>
      <w:pPr>
        <w:spacing w:before="20" w:after="20"/>
      </w:pPr>
      <w:r>
        <w:rPr>
          <w:sz w:val="20"/>
        </w:rPr>
        <w:t>a. Data extraction and migration procedures</w:t>
      </w:r>
    </w:p>
    <w:p>
      <w:pPr>
        <w:spacing w:before="20" w:after="20"/>
      </w:pPr>
      <w:r>
        <w:rPr>
          <w:sz w:val="20"/>
        </w:rPr>
        <w:t>b. Application re-deployment architecture on alternative providers</w:t>
      </w:r>
    </w:p>
    <w:p>
      <w:pPr>
        <w:spacing w:before="20" w:after="20"/>
      </w:pPr>
      <w:r>
        <w:rPr>
          <w:sz w:val="20"/>
        </w:rPr>
        <w:t>c. Network connectivity and DNS cutover procedures</w:t>
      </w:r>
    </w:p>
    <w:p>
      <w:pPr>
        <w:spacing w:before="20" w:after="20"/>
      </w:pPr>
      <w:r>
        <w:rPr>
          <w:sz w:val="20"/>
        </w:rPr>
        <w:t>d. Security control transition plan</w:t>
      </w:r>
    </w:p>
    <w:p>
      <w:pPr>
        <w:spacing w:before="20" w:after="20"/>
      </w:pPr>
      <w:r>
        <w:rPr>
          <w:sz w:val="20"/>
        </w:rPr>
        <w:t>e. Testing and validation procedures</w:t>
      </w:r>
    </w:p>
    <w:p>
      <w:pPr>
        <w:spacing w:before="20" w:after="20"/>
      </w:pPr>
      <w:r>
        <w:rPr>
          <w:sz w:val="20"/>
        </w:rPr>
        <w:t>f. Rollback procedures</w:t>
      </w:r>
    </w:p>
    <w:p>
      <w:pPr>
        <w:spacing w:before="20" w:after="20"/>
      </w:pPr>
      <w:r>
        <w:rPr>
          <w:sz w:val="20"/>
        </w:rPr>
        <w:t>g. Timeline and resource requirements</w:t>
      </w:r>
    </w:p>
    <w:p>
      <w:pPr>
        <w:spacing w:before="20" w:after="20"/>
      </w:pPr>
      <w:r>
        <w:rPr>
          <w:sz w:val="20"/>
        </w:rPr>
        <w:t>h. Cost estimates for migration</w:t>
      </w:r>
    </w:p>
    <w:p>
      <w:pPr>
        <w:spacing w:before="20" w:after="20"/>
      </w:pPr>
      <w:r>
        <w:rPr>
          <w:sz w:val="20"/>
        </w:rPr>
        <w:t>3. The portability plan shall be tested at least annually.</w:t>
      </w:r>
    </w:p>
    <w:p>
      <w:pPr>
        <w:spacing w:before="20" w:after="20"/>
      </w:pPr>
      <w:r>
        <w:rPr>
          <w:sz w:val="20"/>
        </w:rPr>
        <w:t>4. Test results shall be documented and reviewed by the CTO and CISO.</w:t>
      </w:r>
    </w:p>
    <w:p>
      <w:pPr>
        <w:spacing w:before="20" w:after="20"/>
      </w:pPr>
      <w:r>
        <w:rPr>
          <w:sz w:val="20"/>
        </w:rPr>
        <w:t>5. Exit plan testing shall include:</w:t>
      </w:r>
    </w:p>
    <w:p>
      <w:pPr>
        <w:spacing w:before="20" w:after="20"/>
      </w:pPr>
      <w:r>
        <w:rPr>
          <w:sz w:val="20"/>
        </w:rPr>
        <w:t>a. Dry-run migration of at least one non-critical workload annually</w:t>
      </w:r>
    </w:p>
    <w:p>
      <w:pPr>
        <w:spacing w:before="20" w:after="20"/>
      </w:pPr>
      <w:r>
        <w:rPr>
          <w:sz w:val="20"/>
        </w:rPr>
        <w:t>b. Full-scale tabletop exercise for critical workload migration every 2 years</w:t>
      </w:r>
    </w:p>
    <w:p>
      <w:pPr>
        <w:spacing w:before="20" w:after="20"/>
      </w:pPr>
      <w:r>
        <w:rPr>
          <w:sz w:val="20"/>
        </w:rPr>
        <w:t>c. Data extraction and format validation testing</w:t>
      </w:r>
    </w:p>
    <w:p>
      <w:pPr>
        <w:spacing w:before="120" w:after="40"/>
      </w:pPr>
      <w:r>
        <w:rPr>
          <w:b/>
          <w:color w:val="4A90B0"/>
          <w:sz w:val="22"/>
        </w:rPr>
        <w:t>3.5 Cloud Governance and Oversight</w:t>
      </w:r>
    </w:p>
    <w:p>
      <w:pPr>
        <w:spacing w:before="20" w:after="20"/>
      </w:pPr>
      <w:r>
        <w:rPr>
          <w:sz w:val="20"/>
        </w:rPr>
        <w:t>1. A Cloud Governance Board shall be established comprising:</w:t>
      </w:r>
    </w:p>
    <w:p>
      <w:pPr>
        <w:spacing w:before="20" w:after="20"/>
      </w:pPr>
      <w:r>
        <w:rPr>
          <w:sz w:val="20"/>
        </w:rPr>
        <w:t>a. Chief Technology Officer (Chair)</w:t>
      </w:r>
    </w:p>
    <w:p>
      <w:pPr>
        <w:spacing w:before="20" w:after="20"/>
      </w:pPr>
      <w:r>
        <w:rPr>
          <w:sz w:val="20"/>
        </w:rPr>
        <w:t>b. Chief Information Security Officer</w:t>
      </w:r>
    </w:p>
    <w:p>
      <w:pPr>
        <w:spacing w:before="20" w:after="20"/>
      </w:pPr>
      <w:r>
        <w:rPr>
          <w:sz w:val="20"/>
        </w:rPr>
        <w:t>c. Chief Risk Officer</w:t>
      </w:r>
    </w:p>
    <w:p>
      <w:pPr>
        <w:spacing w:before="20" w:after="20"/>
      </w:pPr>
      <w:r>
        <w:rPr>
          <w:sz w:val="20"/>
        </w:rPr>
        <w:t>d. Head of Procurement</w:t>
      </w:r>
    </w:p>
    <w:p>
      <w:pPr>
        <w:spacing w:before="20" w:after="20"/>
      </w:pPr>
      <w:r>
        <w:rPr>
          <w:sz w:val="20"/>
        </w:rPr>
        <w:t>e. Cloud Architecture Lead</w:t>
      </w:r>
    </w:p>
    <w:p>
      <w:pPr>
        <w:spacing w:before="20" w:after="20"/>
      </w:pPr>
      <w:r>
        <w:rPr>
          <w:sz w:val="20"/>
        </w:rPr>
        <w:t>f. Business Unit Representatives</w:t>
      </w:r>
    </w:p>
    <w:p>
      <w:pPr>
        <w:spacing w:before="20" w:after="20"/>
      </w:pPr>
      <w:r>
        <w:rPr>
          <w:sz w:val="20"/>
        </w:rPr>
        <w:t>2. The Cloud Governance Board shall meet quarterly to review:</w:t>
      </w:r>
    </w:p>
    <w:p>
      <w:pPr>
        <w:spacing w:before="20" w:after="20"/>
      </w:pPr>
      <w:r>
        <w:rPr>
          <w:sz w:val="20"/>
        </w:rPr>
        <w:t>a. Cloud provider performance and SLA compliance</w:t>
      </w:r>
    </w:p>
    <w:p>
      <w:pPr>
        <w:spacing w:before="20" w:after="20"/>
      </w:pPr>
      <w:r>
        <w:rPr>
          <w:sz w:val="20"/>
        </w:rPr>
        <w:t>b. Workload distribution and provider concentration risk</w:t>
      </w:r>
    </w:p>
    <w:p>
      <w:pPr>
        <w:spacing w:before="20" w:after="20"/>
      </w:pPr>
      <w:r>
        <w:rPr>
          <w:sz w:val="20"/>
        </w:rPr>
        <w:t>c. Exit plan status and testing results</w:t>
      </w:r>
    </w:p>
    <w:p>
      <w:pPr>
        <w:spacing w:before="20" w:after="20"/>
      </w:pPr>
      <w:r>
        <w:rPr>
          <w:sz w:val="20"/>
        </w:rPr>
        <w:t>d. New cloud service adoption requests</w:t>
      </w:r>
    </w:p>
    <w:p>
      <w:pPr>
        <w:spacing w:before="20" w:after="20"/>
      </w:pPr>
      <w:r>
        <w:rPr>
          <w:sz w:val="20"/>
        </w:rPr>
        <w:t>e. Cost optimization opportunities</w:t>
      </w:r>
    </w:p>
    <w:p>
      <w:pPr>
        <w:spacing w:before="20" w:after="20"/>
      </w:pPr>
      <w:r>
        <w:rPr>
          <w:sz w:val="20"/>
        </w:rPr>
        <w:t>f. Security incidents and remediation</w:t>
      </w:r>
    </w:p>
    <w:p>
      <w:pPr>
        <w:spacing w:before="120" w:after="40"/>
      </w:pPr>
      <w:r>
        <w:rPr>
          <w:b/>
          <w:color w:val="4A90B0"/>
          <w:sz w:val="22"/>
        </w:rPr>
        <w:t>3.6 Contractual Requirements</w:t>
      </w:r>
    </w:p>
    <w:p>
      <w:pPr>
        <w:spacing w:before="20" w:after="20"/>
      </w:pPr>
      <w:r>
        <w:rPr>
          <w:sz w:val="20"/>
        </w:rPr>
        <w:t>1. Cloud service agreements shall include:</w:t>
      </w:r>
    </w:p>
    <w:p>
      <w:pPr>
        <w:spacing w:before="20" w:after="20"/>
      </w:pPr>
      <w:r>
        <w:rPr>
          <w:sz w:val="20"/>
        </w:rPr>
        <w:t>a. Data ownership and data processing terms</w:t>
      </w:r>
    </w:p>
    <w:p>
      <w:pPr>
        <w:spacing w:before="20" w:after="20"/>
      </w:pPr>
      <w:r>
        <w:rPr>
          <w:sz w:val="20"/>
        </w:rPr>
        <w:t>b. Data residency and localization commitments</w:t>
      </w:r>
    </w:p>
    <w:p>
      <w:pPr>
        <w:spacing w:before="20" w:after="20"/>
      </w:pPr>
      <w:r>
        <w:rPr>
          <w:sz w:val="20"/>
        </w:rPr>
        <w:t>c. Sub-processing and sub-contracting notifications</w:t>
      </w:r>
    </w:p>
    <w:p>
      <w:pPr>
        <w:spacing w:before="20" w:after="20"/>
      </w:pPr>
      <w:r>
        <w:rPr>
          <w:sz w:val="20"/>
        </w:rPr>
        <w:t>d. Right to audit clause</w:t>
      </w:r>
    </w:p>
    <w:p>
      <w:pPr>
        <w:spacing w:before="20" w:after="20"/>
      </w:pPr>
      <w:r>
        <w:rPr>
          <w:sz w:val="20"/>
        </w:rPr>
        <w:t>e. Service levels and penalties</w:t>
      </w:r>
    </w:p>
    <w:p>
      <w:pPr>
        <w:spacing w:before="20" w:after="20"/>
      </w:pPr>
      <w:r>
        <w:rPr>
          <w:sz w:val="20"/>
        </w:rPr>
        <w:t>f. Exit assistance obligations</w:t>
      </w:r>
    </w:p>
    <w:p>
      <w:pPr>
        <w:spacing w:before="20" w:after="20"/>
      </w:pPr>
      <w:r>
        <w:rPr>
          <w:sz w:val="20"/>
        </w:rPr>
        <w:t>g. Data return and secure destruction provisions</w:t>
      </w:r>
    </w:p>
    <w:p>
      <w:pPr>
        <w:spacing w:before="20" w:after="20"/>
      </w:pPr>
      <w:r>
        <w:rPr>
          <w:sz w:val="20"/>
        </w:rPr>
        <w:t>h. Notice period for contract termination (minimum 180 days)</w:t>
      </w:r>
    </w:p>
    <w:p>
      <w:pPr>
        <w:spacing w:before="20" w:after="20"/>
      </w:pPr>
      <w:r>
        <w:rPr>
          <w:sz w:val="20"/>
        </w:rPr>
        <w:t>i. Force majeure and business continuity provisions</w:t>
      </w:r>
    </w:p>
    <w:p>
      <w:pPr>
        <w:spacing w:before="20" w:after="20"/>
      </w:pPr>
      <w:r>
        <w:rPr>
          <w:sz w:val="20"/>
        </w:rPr>
        <w:t>j. Dispute resolution under Indian jurisdiction</w:t>
      </w:r>
    </w:p>
    <w:p>
      <w:pPr>
        <w:spacing w:before="120" w:after="40"/>
      </w:pPr>
      <w:r>
        <w:rPr>
          <w:b/>
          <w:color w:val="4A90B0"/>
          <w:sz w:val="22"/>
        </w:rPr>
        <w:t>3.7 Security Requirements</w:t>
      </w:r>
    </w:p>
    <w:p>
      <w:pPr>
        <w:spacing w:before="20" w:after="20"/>
      </w:pPr>
      <w:r>
        <w:rPr>
          <w:sz w:val="20"/>
        </w:rPr>
        <w:t>1. All cloud environments shall adhere to the bank's security baseline.</w:t>
      </w:r>
    </w:p>
    <w:p>
      <w:pPr>
        <w:spacing w:before="20" w:after="20"/>
      </w:pPr>
      <w:r>
        <w:rPr>
          <w:sz w:val="20"/>
        </w:rPr>
        <w:t>2. Cloud security controls shall include:</w:t>
      </w:r>
    </w:p>
    <w:p>
      <w:pPr>
        <w:spacing w:before="20" w:after="20"/>
      </w:pPr>
      <w:r>
        <w:rPr>
          <w:sz w:val="20"/>
        </w:rPr>
        <w:t>a. Encryption at rest and in transit (bank-managed keys)</w:t>
      </w:r>
    </w:p>
    <w:p>
      <w:pPr>
        <w:spacing w:before="20" w:after="20"/>
      </w:pPr>
      <w:r>
        <w:rPr>
          <w:sz w:val="20"/>
        </w:rPr>
        <w:t>b. Identity and access management with MFA</w:t>
      </w:r>
    </w:p>
    <w:p>
      <w:pPr>
        <w:spacing w:before="20" w:after="20"/>
      </w:pPr>
      <w:r>
        <w:rPr>
          <w:sz w:val="20"/>
        </w:rPr>
        <w:t>c. Network segmentation and micro-segmentation</w:t>
      </w:r>
    </w:p>
    <w:p>
      <w:pPr>
        <w:spacing w:before="20" w:after="20"/>
      </w:pPr>
      <w:r>
        <w:rPr>
          <w:sz w:val="20"/>
        </w:rPr>
        <w:t>d. Logging, monitoring, and SIEM integration</w:t>
      </w:r>
    </w:p>
    <w:p>
      <w:pPr>
        <w:spacing w:before="20" w:after="20"/>
      </w:pPr>
      <w:r>
        <w:rPr>
          <w:sz w:val="20"/>
        </w:rPr>
        <w:t>e. Vulnerability management and patching</w:t>
      </w:r>
    </w:p>
    <w:p>
      <w:pPr>
        <w:spacing w:before="20" w:after="20"/>
      </w:pPr>
      <w:r>
        <w:rPr>
          <w:sz w:val="20"/>
        </w:rPr>
        <w:t>f. Web application firewall (WAF) and DDoS protection</w:t>
      </w:r>
    </w:p>
    <w:p>
      <w:pPr>
        <w:spacing w:before="20" w:after="20"/>
      </w:pPr>
      <w:r>
        <w:rPr>
          <w:sz w:val="20"/>
        </w:rPr>
        <w:t>g. Data loss prevention (DLP) controls</w:t>
      </w:r>
    </w:p>
    <w:p>
      <w:pPr>
        <w:spacing w:before="20" w:after="20"/>
      </w:pPr>
      <w:r>
        <w:rPr>
          <w:sz w:val="20"/>
        </w:rPr>
        <w:t>h. Backup and disaster recovery</w:t>
      </w:r>
    </w:p>
    <w:p>
      <w:pPr>
        <w:spacing w:before="20" w:after="20"/>
      </w:pPr>
      <w:r>
        <w:rPr>
          <w:sz w:val="20"/>
        </w:rPr>
        <w:t>3. Cloud security posture shall be monitored continuously using CSPM (Cloud Security Posture Management) tools.</w:t>
      </w:r>
    </w:p>
    <w:p>
      <w:pPr>
        <w:spacing w:before="20" w:after="20"/>
      </w:pPr>
      <w:r>
        <w:rPr>
          <w:sz w:val="20"/>
        </w:rPr>
        <w:t>4. Penetration testing of cloud environments shall be conducted annually.</w:t>
      </w:r>
    </w:p>
    <w:p>
      <w:pPr>
        <w:spacing w:before="120" w:after="40"/>
      </w:pPr>
      <w:r>
        <w:rPr>
          <w:b/>
          <w:color w:val="4A90B0"/>
          <w:sz w:val="22"/>
        </w:rPr>
        <w:t>3.8 Data Residency and Localization</w:t>
      </w:r>
    </w:p>
    <w:p>
      <w:pPr>
        <w:spacing w:before="20" w:after="20"/>
      </w:pPr>
      <w:r>
        <w:rPr>
          <w:sz w:val="20"/>
        </w:rPr>
        <w:t>1. All customer data shall be stored within India as per RBI guidelines.</w:t>
      </w:r>
    </w:p>
    <w:p>
      <w:pPr>
        <w:spacing w:before="20" w:after="20"/>
      </w:pPr>
      <w:r>
        <w:rPr>
          <w:sz w:val="20"/>
        </w:rPr>
        <w:t>2. Cloud providers must provide explicit data residency commitments in writing.</w:t>
      </w:r>
    </w:p>
    <w:p>
      <w:pPr>
        <w:spacing w:before="20" w:after="20"/>
      </w:pPr>
      <w:r>
        <w:rPr>
          <w:sz w:val="20"/>
        </w:rPr>
        <w:t>3. Data replication for disaster recovery within India is permitted.</w:t>
      </w:r>
    </w:p>
    <w:p>
      <w:pPr>
        <w:spacing w:before="20" w:after="20"/>
      </w:pPr>
      <w:r>
        <w:rPr>
          <w:sz w:val="20"/>
        </w:rPr>
        <w:t>4. Cross-border data transfers require explicit regulatory approval.</w:t>
      </w:r>
    </w:p>
    <w:p>
      <w:pPr>
        <w:spacing w:before="120" w:after="40"/>
      </w:pPr>
      <w:r>
        <w:rPr>
          <w:b/>
          <w:color w:val="4A90B0"/>
          <w:sz w:val="22"/>
        </w:rPr>
        <w:t>3.9 Business Continuity and Disaster Recovery</w:t>
      </w:r>
    </w:p>
    <w:p>
      <w:pPr>
        <w:spacing w:before="20" w:after="20"/>
      </w:pPr>
      <w:r>
        <w:rPr>
          <w:sz w:val="20"/>
        </w:rPr>
        <w:t>1. Cloud environments shall support the bank's overall BCP/DR strategy.</w:t>
      </w:r>
    </w:p>
    <w:p>
      <w:pPr>
        <w:spacing w:before="20" w:after="20"/>
      </w:pPr>
      <w:r>
        <w:rPr>
          <w:sz w:val="20"/>
        </w:rPr>
        <w:t>2. Each cloud provider shall demonstrate:</w:t>
      </w:r>
    </w:p>
    <w:p>
      <w:pPr>
        <w:spacing w:before="20" w:after="20"/>
      </w:pPr>
      <w:r>
        <w:rPr>
          <w:sz w:val="20"/>
        </w:rPr>
        <w:t>a. Multi-AZ / multi-region architecture within India</w:t>
      </w:r>
    </w:p>
    <w:p>
      <w:pPr>
        <w:spacing w:before="20" w:after="20"/>
      </w:pPr>
      <w:r>
        <w:rPr>
          <w:sz w:val="20"/>
        </w:rPr>
        <w:t>b. RTO and RPO commitments aligned with bank's requirements</w:t>
      </w:r>
    </w:p>
    <w:p>
      <w:pPr>
        <w:spacing w:before="20" w:after="20"/>
      </w:pPr>
      <w:r>
        <w:rPr>
          <w:sz w:val="20"/>
        </w:rPr>
        <w:t>c. Regular DR testing and validation</w:t>
      </w:r>
    </w:p>
    <w:p>
      <w:pPr>
        <w:spacing w:before="20" w:after="20"/>
      </w:pPr>
      <w:r>
        <w:rPr>
          <w:sz w:val="20"/>
        </w:rPr>
        <w:t>3. DR testing with cloud providers shall be conducted at least semi-annually.</w:t>
      </w:r>
    </w:p>
    <w:p>
      <w:pPr>
        <w:spacing w:before="120" w:after="40"/>
      </w:pPr>
      <w:r>
        <w:rPr>
          <w:b/>
          <w:color w:val="4A90B0"/>
          <w:sz w:val="22"/>
        </w:rPr>
        <w:t>3.10 Vendor Lock-in Risk Mitigation</w:t>
      </w:r>
    </w:p>
    <w:p>
      <w:pPr>
        <w:spacing w:before="20" w:after="20"/>
      </w:pPr>
      <w:r>
        <w:rPr>
          <w:sz w:val="20"/>
        </w:rPr>
        <w:t>1. Use of provider-specific proprietary services shall be minimized for critical workloads.</w:t>
      </w:r>
    </w:p>
    <w:p>
      <w:pPr>
        <w:spacing w:before="20" w:after="20"/>
      </w:pPr>
      <w:r>
        <w:rPr>
          <w:sz w:val="20"/>
        </w:rPr>
        <w:t>2. Open standards and APIs shall be preferred over proprietary alternatives.</w:t>
      </w:r>
    </w:p>
    <w:p>
      <w:pPr>
        <w:spacing w:before="20" w:after="20"/>
      </w:pPr>
      <w:r>
        <w:rPr>
          <w:sz w:val="20"/>
        </w:rPr>
        <w:t>3. Containerization (Docker/Kubernetes) shall be the default deployment approach.</w:t>
      </w:r>
    </w:p>
    <w:p>
      <w:pPr>
        <w:spacing w:before="20" w:after="20"/>
      </w:pPr>
      <w:r>
        <w:rPr>
          <w:sz w:val="20"/>
        </w:rPr>
        <w:t>4. Data shall be stored in open, portable formats (SQL, Parquet, JSON, etc.).</w:t>
      </w:r>
    </w:p>
    <w:p>
      <w:pPr>
        <w:spacing w:before="20" w:after="20"/>
      </w:pPr>
      <w:r>
        <w:rPr>
          <w:sz w:val="20"/>
        </w:rPr>
        <w:t>5. Infrastructure configuration shall be maintained as code (Terraform, CloudFormation with abstraction).</w:t>
      </w:r>
    </w:p>
    <w:p>
      <w:pPr>
        <w:spacing w:before="20" w:after="20"/>
      </w:pPr>
      <w:r>
        <w:rPr>
          <w:sz w:val="20"/>
        </w:rPr>
        <w:t>6. A cloud-agnostic abstraction layer shall be implemented for critical application components.</w:t>
      </w:r>
    </w:p>
    <w:p>
      <w:pPr>
        <w:spacing w:before="160" w:after="60"/>
      </w:pPr>
      <w:r>
        <w:rPr>
          <w:b/>
          <w:color w:val="3A7CA5"/>
          <w:sz w:val="26"/>
        </w:rPr>
        <w:t>4.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Chief Technology Officer</w:t>
            </w:r>
          </w:p>
        </w:tc>
        <w:tc>
          <w:tcPr>
            <w:tcW w:type="dxa" w:w="4703"/>
          </w:tcPr>
          <w:p>
            <w:pPr>
              <w:spacing w:before="40" w:after="40"/>
            </w:pPr>
            <w:r>
              <w:rPr>
                <w:sz w:val="20"/>
              </w:rPr>
            </w:r>
            <w:r>
              <w:rPr>
                <w:sz w:val="20"/>
              </w:rPr>
              <w:t>Overall ownership of cloud strategy and policy compliance</w:t>
            </w:r>
          </w:p>
        </w:tc>
      </w:tr>
      <w:tr>
        <w:tc>
          <w:tcPr>
            <w:tcW w:type="dxa" w:w="4703"/>
            <w:shd w:fill="F2F7FB"/>
          </w:tcPr>
          <w:p>
            <w:pPr>
              <w:spacing w:before="40" w:after="40"/>
            </w:pPr>
            <w:r>
              <w:rPr>
                <w:sz w:val="20"/>
              </w:rPr>
            </w:r>
            <w:r>
              <w:rPr>
                <w:sz w:val="20"/>
              </w:rPr>
              <w:t>Chief Information Security Officer</w:t>
            </w:r>
          </w:p>
        </w:tc>
        <w:tc>
          <w:tcPr>
            <w:tcW w:type="dxa" w:w="4703"/>
            <w:shd w:fill="F2F7FB"/>
          </w:tcPr>
          <w:p>
            <w:pPr>
              <w:spacing w:before="40" w:after="40"/>
            </w:pPr>
            <w:r>
              <w:rPr>
                <w:sz w:val="20"/>
              </w:rPr>
            </w:r>
            <w:r>
              <w:rPr>
                <w:sz w:val="20"/>
              </w:rPr>
              <w:t>Cloud security oversight and risk management</w:t>
            </w:r>
          </w:p>
        </w:tc>
      </w:tr>
      <w:tr>
        <w:tc>
          <w:tcPr>
            <w:tcW w:type="dxa" w:w="4703"/>
          </w:tcPr>
          <w:p>
            <w:pPr>
              <w:spacing w:before="40" w:after="40"/>
            </w:pPr>
            <w:r>
              <w:rPr>
                <w:sz w:val="20"/>
              </w:rPr>
            </w:r>
            <w:r>
              <w:rPr>
                <w:sz w:val="20"/>
              </w:rPr>
              <w:t>Cloud Architecture Lead</w:t>
            </w:r>
          </w:p>
        </w:tc>
        <w:tc>
          <w:tcPr>
            <w:tcW w:type="dxa" w:w="4703"/>
          </w:tcPr>
          <w:p>
            <w:pPr>
              <w:spacing w:before="40" w:after="40"/>
            </w:pPr>
            <w:r>
              <w:rPr>
                <w:sz w:val="20"/>
              </w:rPr>
            </w:r>
            <w:r>
              <w:rPr>
                <w:sz w:val="20"/>
              </w:rPr>
              <w:t>Technical architecture and portability design</w:t>
            </w:r>
          </w:p>
        </w:tc>
      </w:tr>
      <w:tr>
        <w:tc>
          <w:tcPr>
            <w:tcW w:type="dxa" w:w="4703"/>
            <w:shd w:fill="F2F7FB"/>
          </w:tcPr>
          <w:p>
            <w:pPr>
              <w:spacing w:before="40" w:after="40"/>
            </w:pPr>
            <w:r>
              <w:rPr>
                <w:sz w:val="20"/>
              </w:rPr>
            </w:r>
            <w:r>
              <w:rPr>
                <w:sz w:val="20"/>
              </w:rPr>
              <w:t>Cloud Operations Manager</w:t>
            </w:r>
          </w:p>
        </w:tc>
        <w:tc>
          <w:tcPr>
            <w:tcW w:type="dxa" w:w="4703"/>
            <w:shd w:fill="F2F7FB"/>
          </w:tcPr>
          <w:p>
            <w:pPr>
              <w:spacing w:before="40" w:after="40"/>
            </w:pPr>
            <w:r>
              <w:rPr>
                <w:sz w:val="20"/>
              </w:rPr>
            </w:r>
            <w:r>
              <w:rPr>
                <w:sz w:val="20"/>
              </w:rPr>
              <w:t>Day-to-day cloud operations and monitoring</w:t>
            </w:r>
          </w:p>
        </w:tc>
      </w:tr>
      <w:tr>
        <w:tc>
          <w:tcPr>
            <w:tcW w:type="dxa" w:w="4703"/>
          </w:tcPr>
          <w:p>
            <w:pPr>
              <w:spacing w:before="40" w:after="40"/>
            </w:pPr>
            <w:r>
              <w:rPr>
                <w:sz w:val="20"/>
              </w:rPr>
            </w:r>
            <w:r>
              <w:rPr>
                <w:sz w:val="20"/>
              </w:rPr>
              <w:t>Procurement Head</w:t>
            </w:r>
          </w:p>
        </w:tc>
        <w:tc>
          <w:tcPr>
            <w:tcW w:type="dxa" w:w="4703"/>
          </w:tcPr>
          <w:p>
            <w:pPr>
              <w:spacing w:before="40" w:after="40"/>
            </w:pPr>
            <w:r>
              <w:rPr>
                <w:sz w:val="20"/>
              </w:rPr>
            </w:r>
            <w:r>
              <w:rPr>
                <w:sz w:val="20"/>
              </w:rPr>
              <w:t>Cloud contract management and vendor governance</w:t>
            </w:r>
          </w:p>
        </w:tc>
      </w:tr>
      <w:tr>
        <w:tc>
          <w:tcPr>
            <w:tcW w:type="dxa" w:w="4703"/>
            <w:shd w:fill="F2F7FB"/>
          </w:tcPr>
          <w:p>
            <w:pPr>
              <w:spacing w:before="40" w:after="40"/>
            </w:pPr>
            <w:r>
              <w:rPr>
                <w:sz w:val="20"/>
              </w:rPr>
            </w:r>
            <w:r>
              <w:rPr>
                <w:sz w:val="20"/>
              </w:rPr>
              <w:t>Business Unit Heads</w:t>
            </w:r>
          </w:p>
        </w:tc>
        <w:tc>
          <w:tcPr>
            <w:tcW w:type="dxa" w:w="4703"/>
            <w:shd w:fill="F2F7FB"/>
          </w:tcPr>
          <w:p>
            <w:pPr>
              <w:spacing w:before="40" w:after="40"/>
            </w:pPr>
            <w:r>
              <w:rPr>
                <w:sz w:val="20"/>
              </w:rPr>
            </w:r>
            <w:r>
              <w:rPr>
                <w:sz w:val="20"/>
              </w:rPr>
              <w:t>Workload ownership and exit planning participation</w:t>
            </w:r>
          </w:p>
        </w:tc>
      </w:tr>
    </w:tbl>
    <w:p/>
    <w:p>
      <w:pPr>
        <w:spacing w:before="160" w:after="60"/>
      </w:pPr>
      <w:r>
        <w:rPr>
          <w:b/>
          <w:color w:val="3A7CA5"/>
          <w:sz w:val="26"/>
        </w:rPr>
        <w:t>5. Compliance and Reporting</w:t>
      </w:r>
    </w:p>
    <w:p>
      <w:pPr>
        <w:spacing w:before="20" w:after="20"/>
      </w:pPr>
      <w:r>
        <w:rPr>
          <w:sz w:val="20"/>
        </w:rPr>
        <w:t>1. Compliance with this policy shall be reported to the IT Strategy Committee quarterly.</w:t>
      </w:r>
    </w:p>
    <w:p>
      <w:pPr>
        <w:spacing w:before="20" w:after="20"/>
      </w:pPr>
      <w:r>
        <w:rPr>
          <w:sz w:val="20"/>
        </w:rPr>
        <w:t>2. Any deviation from the multi-cloud strategy shall require CTO and Board approval.</w:t>
      </w:r>
    </w:p>
    <w:p>
      <w:pPr>
        <w:spacing w:before="20" w:after="20"/>
      </w:pPr>
      <w:r>
        <w:rPr>
          <w:sz w:val="20"/>
        </w:rPr>
        <w:t>3. Non-compliance shall be recorded in the risk register and escalated appropriately.</w:t>
      </w:r>
    </w:p>
    <w:p>
      <w:pPr>
        <w:spacing w:before="20" w:after="20"/>
      </w:pPr>
      <w:r>
        <w:rPr>
          <w:sz w:val="20"/>
        </w:rPr>
        <w:t>4. Internal Audit shall review compliance with this policy annually.</w:t>
      </w:r>
    </w:p>
    <w:p>
      <w:pPr>
        <w:spacing w:before="160" w:after="60"/>
      </w:pPr>
      <w:r>
        <w:rPr>
          <w:b/>
          <w:color w:val="3A7CA5"/>
          <w:sz w:val="26"/>
        </w:rPr>
        <w:t>6. Policy Review</w:t>
      </w:r>
    </w:p>
    <w:p>
      <w:pPr>
        <w:spacing w:before="20" w:after="20"/>
      </w:pPr>
      <w:r>
        <w:rPr>
          <w:sz w:val="20"/>
        </w:rPr>
        <w:t>This policy shall be reviewed annually or upon significant changes in cloud technology, regulatory environment, or organizational strategy.</w:t>
      </w:r>
    </w:p>
    <w:p>
      <w:pPr>
        <w:spacing w:before="160" w:after="60"/>
      </w:pPr>
      <w:r>
        <w:rPr>
          <w:b/>
          <w:color w:val="3A7CA5"/>
          <w:sz w:val="26"/>
        </w:rPr>
        <w:t>7. Related Documents</w:t>
      </w:r>
    </w:p>
    <w:p>
      <w:pPr>
        <w:spacing w:before="20" w:after="20"/>
        <w:ind w:left="567"/>
      </w:pPr>
      <w:r>
        <w:rPr>
          <w:sz w:val="20"/>
        </w:rPr>
        <w:t xml:space="preserve">  </w:t>
      </w:r>
      <w:r>
        <w:rPr>
          <w:sz w:val="20"/>
        </w:rPr>
        <w:t>Cloud Exit and Portability Plan Template (DI-09-04)</w:t>
      </w:r>
    </w:p>
    <w:p>
      <w:pPr>
        <w:spacing w:before="20" w:after="20"/>
        <w:ind w:left="567"/>
      </w:pPr>
      <w:r>
        <w:rPr>
          <w:sz w:val="20"/>
        </w:rPr>
        <w:t xml:space="preserve">  </w:t>
      </w:r>
      <w:r>
        <w:rPr>
          <w:sz w:val="20"/>
        </w:rPr>
        <w:t>Vendor Management Policy (DI-09-01)</w:t>
      </w:r>
    </w:p>
    <w:p>
      <w:pPr>
        <w:spacing w:before="20" w:after="20"/>
        <w:ind w:left="567"/>
      </w:pPr>
      <w:r>
        <w:rPr>
          <w:sz w:val="20"/>
        </w:rPr>
        <w:t xml:space="preserve">  </w:t>
      </w:r>
      <w:r>
        <w:rPr>
          <w:sz w:val="20"/>
        </w:rPr>
        <w:t>Vendor Agreement Register (DI-09-02)</w:t>
      </w:r>
    </w:p>
    <w:p>
      <w:pPr>
        <w:spacing w:before="20" w:after="20"/>
        <w:ind w:left="567"/>
      </w:pPr>
      <w:r>
        <w:rPr>
          <w:sz w:val="20"/>
        </w:rPr>
        <w:t xml:space="preserve">  </w:t>
      </w:r>
      <w:r>
        <w:rPr>
          <w:sz w:val="20"/>
        </w:rPr>
        <w:t>Business Continuity and Disaster Recovery Policy</w:t>
      </w:r>
    </w:p>
    <w:p>
      <w:pPr>
        <w:spacing w:before="20" w:after="20"/>
        <w:ind w:left="567"/>
      </w:pPr>
      <w:r>
        <w:rPr>
          <w:sz w:val="20"/>
        </w:rPr>
        <w:t xml:space="preserve">  </w:t>
      </w:r>
      <w:r>
        <w:rPr>
          <w:sz w:val="20"/>
        </w:rPr>
        <w:t>Data Classification Policy</w:t>
      </w:r>
    </w:p>
    <w:p>
      <w:pPr>
        <w:spacing w:before="160" w:after="60"/>
      </w:pPr>
      <w:r>
        <w:rPr>
          <w:b/>
          <w:color w:val="3A7CA5"/>
          <w:sz w:val="26"/>
        </w:rPr>
        <w:t>8. 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Change Description</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01-Jun-2026</w:t>
            </w:r>
          </w:p>
        </w:tc>
        <w:tc>
          <w:tcPr>
            <w:tcW w:type="dxa" w:w="2351"/>
          </w:tcPr>
          <w:p>
            <w:pPr>
              <w:spacing w:before="40" w:after="40"/>
            </w:pPr>
            <w:r>
              <w:rPr>
                <w:sz w:val="20"/>
              </w:rPr>
            </w:r>
            <w:r>
              <w:rPr>
                <w:sz w:val="20"/>
              </w:rPr>
              <w:t>CTO / CISO</w:t>
            </w:r>
          </w:p>
        </w:tc>
        <w:tc>
          <w:tcPr>
            <w:tcW w:type="dxa" w:w="2351"/>
          </w:tcPr>
          <w:p>
            <w:pPr>
              <w:spacing w:before="40" w:after="40"/>
            </w:pPr>
            <w:r>
              <w:rPr>
                <w:sz w:val="20"/>
              </w:rPr>
            </w:r>
            <w:r>
              <w:rPr>
                <w:sz w:val="20"/>
              </w:rPr>
              <w:t>Initial release</w:t>
            </w:r>
          </w:p>
        </w:tc>
      </w:tr>
    </w:tbl>
    <w:p/>
    <w:p>
      <w:pPr>
        <w:spacing w:before="120" w:after="40"/>
      </w:pPr>
      <w:r>
        <w:rPr>
          <w:b/>
          <w:color w:val="4A90B0"/>
          <w:sz w:val="22"/>
        </w:rP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