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1B3A5C"/>
          <w:sz w:val="40"/>
        </w:rPr>
        <w:t>Bharat Mercantile Bank Limited</w:t>
      </w:r>
    </w:p>
    <w:p>
      <w:pPr>
        <w:spacing w:before="200" w:after="80"/>
      </w:pPr>
      <w:r>
        <w:rPr>
          <w:b/>
          <w:color w:val="2C5F8A"/>
          <w:sz w:val="32"/>
        </w:rPr>
        <w:t>SIEM &amp; SOC Operations Policy</w:t>
      </w:r>
    </w:p>
    <w:p>
      <w:pPr>
        <w:spacing w:before="20" w:after="20"/>
      </w:pPr>
      <w:r>
        <w:rPr>
          <w:b/>
          <w:sz w:val="20"/>
        </w:rPr>
        <w:t>Document Reference:</w:t>
      </w:r>
      <w:r>
        <w:rPr>
          <w:sz w:val="20"/>
        </w:rPr>
        <w:t xml:space="preserve"> DI-10-01</w:t>
      </w:r>
    </w:p>
    <w:p>
      <w:pPr>
        <w:spacing w:before="20" w:after="20"/>
      </w:pPr>
      <w:r>
        <w:rPr>
          <w:b/>
          <w:sz w:val="20"/>
        </w:rPr>
        <w:t>Version:</w:t>
      </w:r>
      <w:r>
        <w:rPr>
          <w:sz w:val="20"/>
        </w:rPr>
        <w:t xml:space="preserve"> 1.0</w:t>
      </w:r>
    </w:p>
    <w:p>
      <w:pPr>
        <w:spacing w:before="20" w:after="20"/>
      </w:pPr>
      <w:r>
        <w:rPr>
          <w:b/>
          <w:sz w:val="20"/>
        </w:rPr>
        <w:t>Effective Date:</w:t>
      </w:r>
      <w:r>
        <w:rPr>
          <w:sz w:val="20"/>
        </w:rPr>
        <w:t xml:space="preserve"> 15-Jun-2026</w:t>
      </w:r>
    </w:p>
    <w:p>
      <w:pPr>
        <w:spacing w:before="20" w:after="20"/>
      </w:pPr>
      <w:r>
        <w:rPr>
          <w:b/>
          <w:sz w:val="20"/>
        </w:rPr>
        <w:t>Classification:</w:t>
      </w:r>
      <w:r>
        <w:rPr>
          <w:sz w:val="20"/>
        </w:rPr>
        <w:t xml:space="preserve"> Internal – Restricted</w:t>
      </w:r>
    </w:p>
    <w:p>
      <w:pPr>
        <w:spacing w:before="20" w:after="20"/>
      </w:pPr>
      <w:r>
        <w:rPr>
          <w:b/>
          <w:sz w:val="20"/>
        </w:rPr>
        <w:t>Owner:</w:t>
      </w:r>
      <w:r>
        <w:rPr>
          <w:sz w:val="20"/>
        </w:rPr>
        <w:t xml:space="preserve"> Chief Information Security Officer (CISO)</w:t>
      </w:r>
    </w:p>
    <w:p>
      <w:pPr>
        <w:spacing w:before="20" w:after="20"/>
      </w:pPr>
      <w:r>
        <w:rPr>
          <w:b/>
          <w:sz w:val="20"/>
        </w:rPr>
        <w:t>Review Cycle:</w:t>
      </w:r>
      <w:r>
        <w:rPr>
          <w:sz w:val="20"/>
        </w:rPr>
        <w:t xml:space="preserve"> Annual</w:t>
      </w:r>
    </w:p>
    <w:p>
      <w:pPr>
        <w:spacing w:before="200" w:after="80"/>
      </w:pPr>
      <w:r>
        <w:rPr>
          <w:b/>
          <w:color w:val="2C5F8A"/>
          <w:sz w:val="32"/>
        </w:rPr>
        <w:t>Document Control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Version</w:t>
            </w:r>
          </w:p>
        </w:tc>
        <w:tc>
          <w:tcPr>
            <w:tcW w:type="dxa" w:w="2351"/>
            <w:shd w:fill="1B3A5C"/>
          </w:tcPr>
          <w:p>
            <w:pPr>
              <w:spacing w:before="40" w:after="40"/>
            </w:pPr>
            <w:r>
              <w:rPr>
                <w:b/>
                <w:color w:val="FFFFFF"/>
                <w:sz w:val="20"/>
              </w:rPr>
            </w:r>
            <w:r>
              <w:rPr>
                <w:b/>
                <w:color w:val="FFFFFF"/>
                <w:sz w:val="20"/>
              </w:rPr>
              <w:t>Date</w:t>
            </w:r>
          </w:p>
        </w:tc>
        <w:tc>
          <w:tcPr>
            <w:tcW w:type="dxa" w:w="2351"/>
            <w:shd w:fill="1B3A5C"/>
          </w:tcPr>
          <w:p>
            <w:pPr>
              <w:spacing w:before="40" w:after="40"/>
            </w:pPr>
            <w:r>
              <w:rPr>
                <w:b/>
                <w:color w:val="FFFFFF"/>
                <w:sz w:val="20"/>
              </w:rPr>
            </w:r>
            <w:r>
              <w:rPr>
                <w:b/>
                <w:color w:val="FFFFFF"/>
                <w:sz w:val="20"/>
              </w:rPr>
              <w:t>Author</w:t>
            </w:r>
          </w:p>
        </w:tc>
        <w:tc>
          <w:tcPr>
            <w:tcW w:type="dxa" w:w="2351"/>
            <w:shd w:fill="1B3A5C"/>
          </w:tcPr>
          <w:p>
            <w:pPr>
              <w:spacing w:before="40" w:after="40"/>
            </w:pPr>
            <w:r>
              <w:rPr>
                <w:b/>
                <w:color w:val="FFFFFF"/>
                <w:sz w:val="20"/>
              </w:rPr>
            </w:r>
            <w:r>
              <w:rPr>
                <w:b/>
                <w:color w:val="FFFFFF"/>
                <w:sz w:val="20"/>
              </w:rPr>
              <w:t>Description of Change</w:t>
            </w:r>
          </w:p>
        </w:tc>
      </w:tr>
      <w:tr>
        <w:tc>
          <w:tcPr>
            <w:tcW w:type="dxa" w:w="2351"/>
          </w:tcPr>
          <w:p>
            <w:pPr>
              <w:spacing w:before="40" w:after="40"/>
            </w:pPr>
            <w:r>
              <w:rPr>
                <w:sz w:val="20"/>
              </w:rPr>
            </w:r>
            <w:r>
              <w:rPr>
                <w:sz w:val="20"/>
              </w:rPr>
              <w:t>1.0</w:t>
            </w:r>
          </w:p>
        </w:tc>
        <w:tc>
          <w:tcPr>
            <w:tcW w:type="dxa" w:w="2351"/>
          </w:tcPr>
          <w:p>
            <w:pPr>
              <w:spacing w:before="40" w:after="40"/>
            </w:pPr>
            <w:r>
              <w:rPr>
                <w:sz w:val="20"/>
              </w:rPr>
            </w:r>
            <w:r>
              <w:rPr>
                <w:sz w:val="20"/>
              </w:rPr>
              <w:t>15-Jun-2026</w:t>
            </w:r>
          </w:p>
        </w:tc>
        <w:tc>
          <w:tcPr>
            <w:tcW w:type="dxa" w:w="2351"/>
          </w:tcPr>
          <w:p>
            <w:pPr>
              <w:spacing w:before="40" w:after="40"/>
            </w:pPr>
            <w:r>
              <w:rPr>
                <w:sz w:val="20"/>
              </w:rPr>
            </w:r>
            <w:r>
              <w:rPr>
                <w:sz w:val="20"/>
              </w:rPr>
              <w:t>CISO</w:t>
            </w:r>
          </w:p>
        </w:tc>
        <w:tc>
          <w:tcPr>
            <w:tcW w:type="dxa" w:w="2351"/>
          </w:tcPr>
          <w:p>
            <w:pPr>
              <w:spacing w:before="40" w:after="40"/>
            </w:pPr>
            <w:r>
              <w:rPr>
                <w:sz w:val="20"/>
              </w:rPr>
            </w:r>
            <w:r>
              <w:rPr>
                <w:sz w:val="20"/>
              </w:rPr>
              <w:t>Initial release post Obs-18 finding</w:t>
            </w:r>
          </w:p>
        </w:tc>
      </w:tr>
    </w:tbl>
    <w:p/>
    <w:p>
      <w:pPr>
        <w:spacing w:before="200" w:after="80"/>
      </w:pPr>
      <w:r>
        <w:rPr>
          <w:b/>
          <w:color w:val="2C5F8A"/>
          <w:sz w:val="32"/>
        </w:rPr>
        <w:t>1. Purpose</w:t>
      </w:r>
    </w:p>
    <w:p>
      <w:pPr>
        <w:spacing w:before="20" w:after="20"/>
      </w:pPr>
      <w:r>
        <w:rPr>
          <w:sz w:val="20"/>
        </w:rPr>
        <w:t>The purpose of this policy is to define the operational framework for the Security Information and Event Management (SIEM) system and the Security Operations Centre (SOC) at Bharat Mercantile Bank Limited. This policy ensures comprehensive monitoring, timely detection, and effective response to security incidents across the bank's information asset landscape.</w:t>
      </w:r>
    </w:p>
    <w:p>
      <w:pPr>
        <w:spacing w:before="200" w:after="80"/>
      </w:pPr>
      <w:r>
        <w:rPr>
          <w:b/>
          <w:color w:val="2C5F8A"/>
          <w:sz w:val="32"/>
        </w:rPr>
        <w:t>2. Scope</w:t>
      </w:r>
    </w:p>
    <w:p>
      <w:pPr>
        <w:spacing w:before="20" w:after="20"/>
      </w:pPr>
      <w:r>
        <w:rPr>
          <w:sz w:val="20"/>
        </w:rPr>
        <w:t>This policy applies to:</w:t>
      </w:r>
    </w:p>
    <w:p>
      <w:pPr>
        <w:spacing w:before="20" w:after="20"/>
        <w:ind w:left="567"/>
      </w:pPr>
      <w:r>
        <w:rPr>
          <w:sz w:val="20"/>
        </w:rPr>
        <w:t xml:space="preserve">  </w:t>
      </w:r>
      <w:r>
        <w:rPr>
          <w:sz w:val="20"/>
        </w:rPr>
        <w:t>All critical information assets owned, leased, or managed by Bharat Mercantile Bank Limited</w:t>
      </w:r>
    </w:p>
    <w:p>
      <w:pPr>
        <w:spacing w:before="20" w:after="20"/>
        <w:ind w:left="567"/>
      </w:pPr>
      <w:r>
        <w:rPr>
          <w:sz w:val="20"/>
        </w:rPr>
        <w:t xml:space="preserve">  </w:t>
      </w:r>
      <w:r>
        <w:rPr>
          <w:sz w:val="20"/>
        </w:rPr>
        <w:t>All SOC personnel, including Level 1, Level 2, and Level 3 analysts</w:t>
      </w:r>
    </w:p>
    <w:p>
      <w:pPr>
        <w:spacing w:before="20" w:after="20"/>
        <w:ind w:left="567"/>
      </w:pPr>
      <w:r>
        <w:rPr>
          <w:sz w:val="20"/>
        </w:rPr>
        <w:t xml:space="preserve">  </w:t>
      </w:r>
      <w:r>
        <w:rPr>
          <w:sz w:val="20"/>
        </w:rPr>
        <w:t>All security tools integrated with the SIEM platform, including EDR and XDR solutions</w:t>
      </w:r>
    </w:p>
    <w:p>
      <w:pPr>
        <w:spacing w:before="20" w:after="20"/>
        <w:ind w:left="567"/>
      </w:pPr>
      <w:r>
        <w:rPr>
          <w:sz w:val="20"/>
        </w:rPr>
        <w:t xml:space="preserve">  </w:t>
      </w:r>
      <w:r>
        <w:rPr>
          <w:sz w:val="20"/>
        </w:rPr>
        <w:t>All third-party service providers managing security monitoring on behalf of the bank</w:t>
      </w:r>
    </w:p>
    <w:p>
      <w:pPr>
        <w:spacing w:before="200" w:after="80"/>
      </w:pPr>
      <w:r>
        <w:rPr>
          <w:b/>
          <w:color w:val="2C5F8A"/>
          <w:sz w:val="32"/>
        </w:rPr>
        <w:t>3. Policy Statements</w:t>
      </w:r>
    </w:p>
    <w:p>
      <w:pPr>
        <w:spacing w:before="160" w:after="60"/>
      </w:pPr>
      <w:r>
        <w:rPr>
          <w:b/>
          <w:color w:val="3A7CA5"/>
          <w:sz w:val="26"/>
        </w:rPr>
        <w:t>3.1 SIEM Asset Onboarding</w:t>
      </w:r>
    </w:p>
    <w:p>
      <w:pPr>
        <w:spacing w:before="20" w:after="20"/>
      </w:pPr>
      <w:r>
        <w:rPr>
          <w:b/>
          <w:sz w:val="20"/>
        </w:rPr>
        <w:t xml:space="preserve">3.1.1  </w:t>
      </w:r>
      <w:r>
        <w:rPr>
          <w:sz w:val="20"/>
        </w:rPr>
        <w:t>All critical information assets shall be onboarded to the SIEM platform within 30 days of their commissioning.</w:t>
      </w:r>
    </w:p>
    <w:p>
      <w:pPr>
        <w:spacing w:before="20" w:after="20"/>
      </w:pPr>
      <w:r>
        <w:rPr>
          <w:b/>
          <w:sz w:val="20"/>
        </w:rPr>
        <w:t xml:space="preserve">3.1.2  </w:t>
      </w:r>
      <w:r>
        <w:rPr>
          <w:sz w:val="20"/>
        </w:rPr>
        <w:t>Critical assets include, but are not limited to: core banking systems, internet banking servers, mobile banking application servers, payment switch systems, database servers, domain controllers, network perimeter devices, and ATM switch systems.</w:t>
      </w:r>
    </w:p>
    <w:p>
      <w:pPr>
        <w:spacing w:before="20" w:after="20"/>
      </w:pPr>
      <w:r>
        <w:rPr>
          <w:b/>
          <w:sz w:val="20"/>
        </w:rPr>
        <w:t xml:space="preserve">3.1.3  </w:t>
      </w:r>
      <w:r>
        <w:rPr>
          <w:sz w:val="20"/>
        </w:rPr>
        <w:t>The CISO shall maintain an inventory of all critical assets and their SIEM onboarding status. This inventory shall be reviewed monthly at the IT Strategy Committee meeting.</w:t>
      </w:r>
    </w:p>
    <w:p>
      <w:pPr>
        <w:spacing w:before="20" w:after="20"/>
      </w:pPr>
      <w:r>
        <w:rPr>
          <w:b/>
          <w:sz w:val="20"/>
        </w:rPr>
        <w:t xml:space="preserve">3.1.4  </w:t>
      </w:r>
      <w:r>
        <w:rPr>
          <w:sz w:val="20"/>
        </w:rPr>
        <w:t>A target of 100% onboarding of critical assets to the SIEM platform shall be achieved and maintained at all times. Any deviation from this target must be approved by the CISO with a documented remediation plan.</w:t>
      </w:r>
    </w:p>
    <w:p>
      <w:pPr>
        <w:spacing w:before="20" w:after="20"/>
      </w:pPr>
      <w:r>
        <w:rPr>
          <w:b/>
          <w:sz w:val="20"/>
        </w:rPr>
        <w:t xml:space="preserve">3.1.5  </w:t>
      </w:r>
      <w:r>
        <w:rPr>
          <w:sz w:val="20"/>
        </w:rPr>
        <w:t>Non-critical assets shall be onboarded on a risk-priority basis as determined by the CISO.</w:t>
      </w:r>
    </w:p>
    <w:p>
      <w:pPr>
        <w:spacing w:before="20" w:after="20"/>
      </w:pPr>
      <w:r>
        <w:rPr>
          <w:b/>
          <w:sz w:val="20"/>
        </w:rPr>
        <w:t xml:space="preserve">3.1.6  </w:t>
      </w:r>
      <w:r>
        <w:rPr>
          <w:sz w:val="20"/>
        </w:rPr>
        <w:t>The SIEM onboarding process shall include: log source identification, log format normalization, use case mapping, alert threshold configuration, and testing in the SIEM staging environment prior to production deployment.</w:t>
      </w:r>
    </w:p>
    <w:p>
      <w:pPr>
        <w:spacing w:before="160" w:after="60"/>
      </w:pPr>
      <w:r>
        <w:rPr>
          <w:b/>
          <w:color w:val="3A7CA5"/>
          <w:sz w:val="26"/>
        </w:rPr>
        <w:t>3.2 Log Collection and Retention</w:t>
      </w:r>
    </w:p>
    <w:p>
      <w:pPr>
        <w:spacing w:before="20" w:after="20"/>
      </w:pPr>
      <w:r>
        <w:rPr>
          <w:b/>
          <w:sz w:val="20"/>
        </w:rPr>
        <w:t xml:space="preserve">3.2.1  </w:t>
      </w:r>
      <w:r>
        <w:rPr>
          <w:sz w:val="20"/>
        </w:rPr>
        <w:t>All onboarded assets shall send logs to the SIEM platform in real-time where feasible, or in near real-time (within 5 minutes) for assets with connectivity constraints.</w:t>
      </w:r>
    </w:p>
    <w:p>
      <w:pPr>
        <w:spacing w:before="20" w:after="20"/>
      </w:pPr>
      <w:r>
        <w:rPr>
          <w:b/>
          <w:sz w:val="20"/>
        </w:rPr>
        <w:t xml:space="preserve">3.2.2  </w:t>
      </w:r>
      <w:r>
        <w:rPr>
          <w:sz w:val="20"/>
        </w:rPr>
        <w:t>Logs shall be retained for a minimum period as per regulatory requirements:</w:t>
      </w:r>
    </w:p>
    <w:p>
      <w:pPr>
        <w:spacing w:before="20" w:after="20"/>
        <w:ind w:left="567"/>
      </w:pPr>
      <w:r>
        <w:rPr>
          <w:sz w:val="20"/>
        </w:rPr>
        <w:t xml:space="preserve">  </w:t>
      </w:r>
      <w:r>
        <w:rPr>
          <w:sz w:val="20"/>
        </w:rPr>
        <w:t>Security logs: Minimum 2 years</w:t>
      </w:r>
    </w:p>
    <w:p>
      <w:pPr>
        <w:spacing w:before="20" w:after="20"/>
        <w:ind w:left="567"/>
      </w:pPr>
      <w:r>
        <w:rPr>
          <w:sz w:val="20"/>
        </w:rPr>
        <w:t xml:space="preserve">  </w:t>
      </w:r>
      <w:r>
        <w:rPr>
          <w:sz w:val="20"/>
        </w:rPr>
        <w:t>Transaction logs: Minimum 5 years</w:t>
      </w:r>
    </w:p>
    <w:p>
      <w:pPr>
        <w:spacing w:before="20" w:after="20"/>
        <w:ind w:left="567"/>
      </w:pPr>
      <w:r>
        <w:rPr>
          <w:sz w:val="20"/>
        </w:rPr>
        <w:t xml:space="preserve">  </w:t>
      </w:r>
      <w:r>
        <w:rPr>
          <w:sz w:val="20"/>
        </w:rPr>
        <w:t>Audit logs: Minimum 7 years</w:t>
      </w:r>
    </w:p>
    <w:p>
      <w:pPr>
        <w:spacing w:before="20" w:after="20"/>
      </w:pPr>
      <w:r>
        <w:rPr>
          <w:b/>
          <w:sz w:val="20"/>
        </w:rPr>
        <w:t xml:space="preserve">3.2.3  </w:t>
      </w:r>
      <w:r>
        <w:rPr>
          <w:sz w:val="20"/>
        </w:rPr>
        <w:t>Log sources shall be time-synchronized using NTP (Network Time Protocol) to ensure accurate correlation and timeline reconstruction during investigations.</w:t>
      </w:r>
    </w:p>
    <w:p>
      <w:pPr>
        <w:spacing w:before="160" w:after="60"/>
      </w:pPr>
      <w:r>
        <w:rPr>
          <w:b/>
          <w:color w:val="3A7CA5"/>
          <w:sz w:val="26"/>
        </w:rPr>
        <w:t>3.3 SOC Operations</w:t>
      </w:r>
    </w:p>
    <w:p>
      <w:pPr>
        <w:spacing w:before="20" w:after="20"/>
      </w:pPr>
      <w:r>
        <w:rPr>
          <w:b/>
          <w:sz w:val="20"/>
        </w:rPr>
        <w:t xml:space="preserve">3.3.1  </w:t>
      </w:r>
      <w:r>
        <w:rPr>
          <w:sz w:val="20"/>
        </w:rPr>
        <w:t>The SOC shall operate on a 24x7x365 basis with adequate staffing at each shift to ensure continuous monitoring and response capabilities.</w:t>
      </w:r>
    </w:p>
    <w:p>
      <w:pPr>
        <w:spacing w:before="20" w:after="20"/>
      </w:pPr>
      <w:r>
        <w:rPr>
          <w:b/>
          <w:sz w:val="20"/>
        </w:rPr>
        <w:t xml:space="preserve">3.3.2  </w:t>
      </w:r>
      <w:r>
        <w:rPr>
          <w:sz w:val="20"/>
        </w:rPr>
        <w:t>SOC staffing shall follow a three-tier model:</w:t>
      </w:r>
    </w:p>
    <w:p>
      <w:pPr>
        <w:spacing w:before="20" w:after="20"/>
        <w:ind w:left="567"/>
      </w:pPr>
      <w:r>
        <w:rPr>
          <w:sz w:val="20"/>
        </w:rPr>
        <w:t xml:space="preserve">  </w:t>
      </w:r>
      <w:r>
        <w:rPr>
          <w:b/>
          <w:sz w:val="20"/>
        </w:rPr>
        <w:t>Level 1 (L1) - Triage:</w:t>
      </w:r>
      <w:r>
        <w:rPr>
          <w:sz w:val="20"/>
        </w:rPr>
        <w:t xml:space="preserve"> Initial alert monitoring, qualification, and categorization. Response time: 15 minutes.</w:t>
      </w:r>
    </w:p>
    <w:p>
      <w:pPr>
        <w:spacing w:before="20" w:after="20"/>
        <w:ind w:left="567"/>
      </w:pPr>
      <w:r>
        <w:rPr>
          <w:sz w:val="20"/>
        </w:rPr>
        <w:t xml:space="preserve">  </w:t>
      </w:r>
      <w:r>
        <w:rPr>
          <w:b/>
          <w:sz w:val="20"/>
        </w:rPr>
        <w:t>Level 2 (L2) - Investigation:</w:t>
      </w:r>
      <w:r>
        <w:rPr>
          <w:sz w:val="20"/>
        </w:rPr>
        <w:t xml:space="preserve"> Deep-dive analysis, containment recommendations, and escalation to L3 as needed. Response time: 30 minutes.</w:t>
      </w:r>
    </w:p>
    <w:p>
      <w:pPr>
        <w:spacing w:before="20" w:after="20"/>
        <w:ind w:left="567"/>
      </w:pPr>
      <w:r>
        <w:rPr>
          <w:sz w:val="20"/>
        </w:rPr>
        <w:t xml:space="preserve">  </w:t>
      </w:r>
      <w:r>
        <w:rPr>
          <w:b/>
          <w:sz w:val="20"/>
        </w:rPr>
        <w:t>Level 3 (L3) - Advanced Response:</w:t>
      </w:r>
      <w:r>
        <w:rPr>
          <w:sz w:val="20"/>
        </w:rPr>
        <w:t xml:space="preserve"> Threat hunting, forensics, malware analysis, and remediation. Response time: 60 minutes.</w:t>
      </w:r>
    </w:p>
    <w:p>
      <w:pPr>
        <w:spacing w:before="20" w:after="20"/>
      </w:pPr>
      <w:r>
        <w:rPr>
          <w:b/>
          <w:sz w:val="20"/>
        </w:rPr>
        <w:t xml:space="preserve">3.3.3  </w:t>
      </w:r>
      <w:r>
        <w:rPr>
          <w:sz w:val="20"/>
        </w:rPr>
        <w:t>All SOC analysts shall undergo mandatory certification in relevant domains (CEH, CompTIA Security+, CISSP, or GIAC) within 6 months of joining.</w:t>
      </w:r>
    </w:p>
    <w:p>
      <w:pPr>
        <w:spacing w:before="20" w:after="20"/>
      </w:pPr>
      <w:r>
        <w:rPr>
          <w:b/>
          <w:sz w:val="20"/>
        </w:rPr>
        <w:t xml:space="preserve">3.3.4  </w:t>
      </w:r>
      <w:r>
        <w:rPr>
          <w:sz w:val="20"/>
        </w:rPr>
        <w:t>A shift handover process shall be documented and followed to ensure continuity of monitoring during shift changes.</w:t>
      </w:r>
    </w:p>
    <w:p>
      <w:pPr>
        <w:spacing w:before="160" w:after="60"/>
      </w:pPr>
      <w:r>
        <w:rPr>
          <w:b/>
          <w:color w:val="3A7CA5"/>
          <w:sz w:val="26"/>
        </w:rPr>
        <w:t>3.4 Alert TAT Definition and Compliance</w:t>
      </w:r>
    </w:p>
    <w:p>
      <w:pPr>
        <w:spacing w:before="20" w:after="20"/>
      </w:pPr>
      <w:r>
        <w:rPr>
          <w:b/>
          <w:sz w:val="20"/>
        </w:rPr>
        <w:t xml:space="preserve">3.4.1  </w:t>
      </w:r>
      <w:r>
        <w:rPr>
          <w:sz w:val="20"/>
        </w:rPr>
        <w:t>Alerts shall be categorized into severity levels with defined Turnaround Time (TAT) for closure: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Severity</w:t>
            </w:r>
          </w:p>
        </w:tc>
        <w:tc>
          <w:tcPr>
            <w:tcW w:type="dxa" w:w="2351"/>
            <w:shd w:fill="1B3A5C"/>
          </w:tcPr>
          <w:p>
            <w:pPr>
              <w:spacing w:before="40" w:after="40"/>
            </w:pPr>
            <w:r>
              <w:rPr>
                <w:b/>
                <w:color w:val="FFFFFF"/>
                <w:sz w:val="20"/>
              </w:rPr>
            </w:r>
            <w:r>
              <w:rPr>
                <w:b/>
                <w:color w:val="FFFFFF"/>
                <w:sz w:val="20"/>
              </w:rPr>
              <w:t>Level</w:t>
            </w:r>
          </w:p>
        </w:tc>
        <w:tc>
          <w:tcPr>
            <w:tcW w:type="dxa" w:w="2351"/>
            <w:shd w:fill="1B3A5C"/>
          </w:tcPr>
          <w:p>
            <w:pPr>
              <w:spacing w:before="40" w:after="40"/>
            </w:pPr>
            <w:r>
              <w:rPr>
                <w:b/>
                <w:color w:val="FFFFFF"/>
                <w:sz w:val="20"/>
              </w:rPr>
            </w:r>
            <w:r>
              <w:rPr>
                <w:b/>
                <w:color w:val="FFFFFF"/>
                <w:sz w:val="20"/>
              </w:rPr>
              <w:t>TAT for Closure</w:t>
            </w:r>
          </w:p>
        </w:tc>
        <w:tc>
          <w:tcPr>
            <w:tcW w:type="dxa" w:w="2351"/>
            <w:shd w:fill="1B3A5C"/>
          </w:tcPr>
          <w:p>
            <w:pPr>
              <w:spacing w:before="40" w:after="40"/>
            </w:pPr>
            <w:r>
              <w:rPr>
                <w:b/>
                <w:color w:val="FFFFFF"/>
                <w:sz w:val="20"/>
              </w:rPr>
            </w:r>
            <w:r>
              <w:rPr>
                <w:b/>
                <w:color w:val="FFFFFF"/>
                <w:sz w:val="20"/>
              </w:rPr>
              <w:t>Escalation to CISO</w:t>
            </w:r>
          </w:p>
        </w:tc>
      </w:tr>
      <w:tr>
        <w:tc>
          <w:tcPr>
            <w:tcW w:type="dxa" w:w="2351"/>
          </w:tcPr>
          <w:p>
            <w:pPr>
              <w:spacing w:before="40" w:after="40"/>
            </w:pPr>
            <w:r>
              <w:rPr>
                <w:sz w:val="20"/>
              </w:rPr>
            </w:r>
            <w:r>
              <w:rPr>
                <w:sz w:val="20"/>
              </w:rPr>
              <w:t>Critical (S1)</w:t>
            </w:r>
          </w:p>
        </w:tc>
        <w:tc>
          <w:tcPr>
            <w:tcW w:type="dxa" w:w="2351"/>
          </w:tcPr>
          <w:p>
            <w:pPr>
              <w:spacing w:before="40" w:after="40"/>
            </w:pPr>
            <w:r>
              <w:rPr>
                <w:sz w:val="20"/>
              </w:rPr>
            </w:r>
            <w:r>
              <w:rPr>
                <w:sz w:val="20"/>
              </w:rPr>
              <w:t>Immediate threat to business operations</w:t>
            </w:r>
          </w:p>
        </w:tc>
        <w:tc>
          <w:tcPr>
            <w:tcW w:type="dxa" w:w="2351"/>
          </w:tcPr>
          <w:p>
            <w:pPr>
              <w:spacing w:before="40" w:after="40"/>
            </w:pPr>
            <w:r>
              <w:rPr>
                <w:sz w:val="20"/>
              </w:rPr>
            </w:r>
            <w:r>
              <w:rPr>
                <w:sz w:val="20"/>
              </w:rPr>
              <w:t>2 hours</w:t>
            </w:r>
          </w:p>
        </w:tc>
        <w:tc>
          <w:tcPr>
            <w:tcW w:type="dxa" w:w="2351"/>
          </w:tcPr>
          <w:p>
            <w:pPr>
              <w:spacing w:before="40" w:after="40"/>
            </w:pPr>
            <w:r>
              <w:rPr>
                <w:sz w:val="20"/>
              </w:rPr>
            </w:r>
            <w:r>
              <w:rPr>
                <w:sz w:val="20"/>
              </w:rPr>
              <w:t>Immediate</w:t>
            </w:r>
          </w:p>
        </w:tc>
      </w:tr>
      <w:tr>
        <w:tc>
          <w:tcPr>
            <w:tcW w:type="dxa" w:w="2351"/>
            <w:shd w:fill="F2F7FB"/>
          </w:tcPr>
          <w:p>
            <w:pPr>
              <w:spacing w:before="40" w:after="40"/>
            </w:pPr>
            <w:r>
              <w:rPr>
                <w:sz w:val="20"/>
              </w:rPr>
            </w:r>
            <w:r>
              <w:rPr>
                <w:sz w:val="20"/>
              </w:rPr>
              <w:t>High (S2)</w:t>
            </w:r>
          </w:p>
        </w:tc>
        <w:tc>
          <w:tcPr>
            <w:tcW w:type="dxa" w:w="2351"/>
            <w:shd w:fill="F2F7FB"/>
          </w:tcPr>
          <w:p>
            <w:pPr>
              <w:spacing w:before="40" w:after="40"/>
            </w:pPr>
            <w:r>
              <w:rPr>
                <w:sz w:val="20"/>
              </w:rPr>
            </w:r>
            <w:r>
              <w:rPr>
                <w:sz w:val="20"/>
              </w:rPr>
              <w:t>Significant security risk</w:t>
            </w:r>
          </w:p>
        </w:tc>
        <w:tc>
          <w:tcPr>
            <w:tcW w:type="dxa" w:w="2351"/>
            <w:shd w:fill="F2F7FB"/>
          </w:tcPr>
          <w:p>
            <w:pPr>
              <w:spacing w:before="40" w:after="40"/>
            </w:pPr>
            <w:r>
              <w:rPr>
                <w:sz w:val="20"/>
              </w:rPr>
            </w:r>
            <w:r>
              <w:rPr>
                <w:sz w:val="20"/>
              </w:rPr>
              <w:t>8 hours</w:t>
            </w:r>
          </w:p>
        </w:tc>
        <w:tc>
          <w:tcPr>
            <w:tcW w:type="dxa" w:w="2351"/>
            <w:shd w:fill="F2F7FB"/>
          </w:tcPr>
          <w:p>
            <w:pPr>
              <w:spacing w:before="40" w:after="40"/>
            </w:pPr>
            <w:r>
              <w:rPr>
                <w:sz w:val="20"/>
              </w:rPr>
            </w:r>
            <w:r>
              <w:rPr>
                <w:sz w:val="20"/>
              </w:rPr>
              <w:t>Within 1 hour</w:t>
            </w:r>
          </w:p>
        </w:tc>
      </w:tr>
      <w:tr>
        <w:tc>
          <w:tcPr>
            <w:tcW w:type="dxa" w:w="2351"/>
          </w:tcPr>
          <w:p>
            <w:pPr>
              <w:spacing w:before="40" w:after="40"/>
            </w:pPr>
            <w:r>
              <w:rPr>
                <w:sz w:val="20"/>
              </w:rPr>
            </w:r>
            <w:r>
              <w:rPr>
                <w:sz w:val="20"/>
              </w:rPr>
              <w:t>Medium (S3)</w:t>
            </w:r>
          </w:p>
        </w:tc>
        <w:tc>
          <w:tcPr>
            <w:tcW w:type="dxa" w:w="2351"/>
          </w:tcPr>
          <w:p>
            <w:pPr>
              <w:spacing w:before="40" w:after="40"/>
            </w:pPr>
            <w:r>
              <w:rPr>
                <w:sz w:val="20"/>
              </w:rPr>
            </w:r>
            <w:r>
              <w:rPr>
                <w:sz w:val="20"/>
              </w:rPr>
              <w:t>Potential security concern</w:t>
            </w:r>
          </w:p>
        </w:tc>
        <w:tc>
          <w:tcPr>
            <w:tcW w:type="dxa" w:w="2351"/>
          </w:tcPr>
          <w:p>
            <w:pPr>
              <w:spacing w:before="40" w:after="40"/>
            </w:pPr>
            <w:r>
              <w:rPr>
                <w:sz w:val="20"/>
              </w:rPr>
            </w:r>
            <w:r>
              <w:rPr>
                <w:sz w:val="20"/>
              </w:rPr>
              <w:t>24 hours</w:t>
            </w:r>
          </w:p>
        </w:tc>
        <w:tc>
          <w:tcPr>
            <w:tcW w:type="dxa" w:w="2351"/>
          </w:tcPr>
          <w:p>
            <w:pPr>
              <w:spacing w:before="40" w:after="40"/>
            </w:pPr>
            <w:r>
              <w:rPr>
                <w:sz w:val="20"/>
              </w:rPr>
            </w:r>
            <w:r>
              <w:rPr>
                <w:sz w:val="20"/>
              </w:rPr>
              <w:t>Within 4 hours</w:t>
            </w:r>
          </w:p>
        </w:tc>
      </w:tr>
      <w:tr>
        <w:tc>
          <w:tcPr>
            <w:tcW w:type="dxa" w:w="2351"/>
            <w:shd w:fill="F2F7FB"/>
          </w:tcPr>
          <w:p>
            <w:pPr>
              <w:spacing w:before="40" w:after="40"/>
            </w:pPr>
            <w:r>
              <w:rPr>
                <w:sz w:val="20"/>
              </w:rPr>
            </w:r>
            <w:r>
              <w:rPr>
                <w:sz w:val="20"/>
              </w:rPr>
              <w:t>Low (S4)</w:t>
            </w:r>
          </w:p>
        </w:tc>
        <w:tc>
          <w:tcPr>
            <w:tcW w:type="dxa" w:w="2351"/>
            <w:shd w:fill="F2F7FB"/>
          </w:tcPr>
          <w:p>
            <w:pPr>
              <w:spacing w:before="40" w:after="40"/>
            </w:pPr>
            <w:r>
              <w:rPr>
                <w:sz w:val="20"/>
              </w:rPr>
            </w:r>
            <w:r>
              <w:rPr>
                <w:sz w:val="20"/>
              </w:rPr>
              <w:t>Informational / Minor</w:t>
            </w:r>
          </w:p>
        </w:tc>
        <w:tc>
          <w:tcPr>
            <w:tcW w:type="dxa" w:w="2351"/>
            <w:shd w:fill="F2F7FB"/>
          </w:tcPr>
          <w:p>
            <w:pPr>
              <w:spacing w:before="40" w:after="40"/>
            </w:pPr>
            <w:r>
              <w:rPr>
                <w:sz w:val="20"/>
              </w:rPr>
            </w:r>
            <w:r>
              <w:rPr>
                <w:sz w:val="20"/>
              </w:rPr>
              <w:t>72 hours</w:t>
            </w:r>
          </w:p>
        </w:tc>
        <w:tc>
          <w:tcPr>
            <w:tcW w:type="dxa" w:w="2351"/>
            <w:shd w:fill="F2F7FB"/>
          </w:tcPr>
          <w:p>
            <w:pPr>
              <w:spacing w:before="40" w:after="40"/>
            </w:pPr>
            <w:r>
              <w:rPr>
                <w:sz w:val="20"/>
              </w:rPr>
            </w:r>
            <w:r>
              <w:rPr>
                <w:sz w:val="20"/>
              </w:rPr>
              <w:t>Within 24 hours</w:t>
            </w:r>
          </w:p>
        </w:tc>
      </w:tr>
    </w:tbl>
    <w:p/>
    <w:p>
      <w:pPr>
        <w:spacing w:before="20" w:after="20"/>
      </w:pPr>
      <w:r>
        <w:rPr>
          <w:b/>
          <w:sz w:val="20"/>
        </w:rPr>
        <w:t xml:space="preserve">3.4.2  </w:t>
      </w:r>
      <w:r>
        <w:rPr>
          <w:sz w:val="20"/>
        </w:rPr>
        <w:t>Any alert exceeding its defined TAT shall be escalated through the management chain as defined in the SOC Escalation Matrix.</w:t>
      </w:r>
    </w:p>
    <w:p>
      <w:pPr>
        <w:spacing w:before="20" w:after="20"/>
      </w:pPr>
      <w:r>
        <w:rPr>
          <w:b/>
          <w:sz w:val="20"/>
        </w:rPr>
        <w:t xml:space="preserve">3.4.3  </w:t>
      </w:r>
      <w:r>
        <w:rPr>
          <w:sz w:val="20"/>
        </w:rPr>
        <w:t>A weekly TAT compliance report shall be generated and reviewed by the CISO. Monthly TAT compliance shall be reported to the IT Strategy Committee.</w:t>
      </w:r>
    </w:p>
    <w:p>
      <w:pPr>
        <w:spacing w:before="20" w:after="20"/>
      </w:pPr>
      <w:r>
        <w:rPr>
          <w:b/>
          <w:sz w:val="20"/>
        </w:rPr>
        <w:t xml:space="preserve">3.4.4  </w:t>
      </w:r>
      <w:r>
        <w:rPr>
          <w:sz w:val="20"/>
        </w:rPr>
        <w:t>Target TAT compliance shall be maintained at:</w:t>
      </w:r>
    </w:p>
    <w:p>
      <w:pPr>
        <w:spacing w:before="20" w:after="20"/>
        <w:ind w:left="567"/>
      </w:pPr>
      <w:r>
        <w:rPr>
          <w:sz w:val="20"/>
        </w:rPr>
        <w:t xml:space="preserve">  </w:t>
      </w:r>
      <w:r>
        <w:rPr>
          <w:sz w:val="20"/>
        </w:rPr>
        <w:t>Critical alerts: 100% closure within TAT</w:t>
      </w:r>
    </w:p>
    <w:p>
      <w:pPr>
        <w:spacing w:before="20" w:after="20"/>
        <w:ind w:left="567"/>
      </w:pPr>
      <w:r>
        <w:rPr>
          <w:sz w:val="20"/>
        </w:rPr>
        <w:t xml:space="preserve">  </w:t>
      </w:r>
      <w:r>
        <w:rPr>
          <w:sz w:val="20"/>
        </w:rPr>
        <w:t>High alerts: Minimum 95% closure within TAT</w:t>
      </w:r>
    </w:p>
    <w:p>
      <w:pPr>
        <w:spacing w:before="20" w:after="20"/>
        <w:ind w:left="567"/>
      </w:pPr>
      <w:r>
        <w:rPr>
          <w:sz w:val="20"/>
        </w:rPr>
        <w:t xml:space="preserve">  </w:t>
      </w:r>
      <w:r>
        <w:rPr>
          <w:sz w:val="20"/>
        </w:rPr>
        <w:t>Medium alerts: Minimum 90% closure within TAT</w:t>
      </w:r>
    </w:p>
    <w:p>
      <w:pPr>
        <w:spacing w:before="20" w:after="20"/>
        <w:ind w:left="567"/>
      </w:pPr>
      <w:r>
        <w:rPr>
          <w:sz w:val="20"/>
        </w:rPr>
        <w:t xml:space="preserve">  </w:t>
      </w:r>
      <w:r>
        <w:rPr>
          <w:sz w:val="20"/>
        </w:rPr>
        <w:t>Low alerts: Minimum 85% closure within TAT</w:t>
      </w:r>
    </w:p>
    <w:p>
      <w:pPr>
        <w:spacing w:before="160" w:after="60"/>
      </w:pPr>
      <w:r>
        <w:rPr>
          <w:b/>
          <w:color w:val="3A7CA5"/>
          <w:sz w:val="26"/>
        </w:rPr>
        <w:t>3.5 EDR/XDR Alert Management</w:t>
      </w:r>
    </w:p>
    <w:p>
      <w:pPr>
        <w:spacing w:before="20" w:after="20"/>
      </w:pPr>
      <w:r>
        <w:rPr>
          <w:b/>
          <w:sz w:val="20"/>
        </w:rPr>
        <w:t xml:space="preserve">3.5.1  </w:t>
      </w:r>
      <w:r>
        <w:rPr>
          <w:sz w:val="20"/>
        </w:rPr>
        <w:t>All EDR and XDR alerts shall be ingested into the central SIEM platform for unified monitoring and response.</w:t>
      </w:r>
    </w:p>
    <w:p>
      <w:pPr>
        <w:spacing w:before="20" w:after="20"/>
      </w:pPr>
      <w:r>
        <w:rPr>
          <w:b/>
          <w:sz w:val="20"/>
        </w:rPr>
        <w:t xml:space="preserve">3.5.2  </w:t>
      </w:r>
      <w:r>
        <w:rPr>
          <w:sz w:val="20"/>
        </w:rPr>
        <w:t>A maximum backlog threshold of 24 hours of unprocessed alerts shall be maintained at all times.</w:t>
      </w:r>
    </w:p>
    <w:p>
      <w:pPr>
        <w:spacing w:before="20" w:after="20"/>
      </w:pPr>
      <w:r>
        <w:rPr>
          <w:b/>
          <w:sz w:val="20"/>
        </w:rPr>
        <w:t xml:space="preserve">3.5.3  </w:t>
      </w:r>
      <w:r>
        <w:rPr>
          <w:sz w:val="20"/>
        </w:rPr>
        <w:t>Alerts older than 24 hours in the backlog shall be automatically escalated to the SOC Manager.</w:t>
      </w:r>
    </w:p>
    <w:p>
      <w:pPr>
        <w:spacing w:before="20" w:after="20"/>
      </w:pPr>
      <w:r>
        <w:rPr>
          <w:b/>
          <w:sz w:val="20"/>
        </w:rPr>
        <w:t xml:space="preserve">3.5.4  </w:t>
      </w:r>
      <w:r>
        <w:rPr>
          <w:sz w:val="20"/>
        </w:rPr>
        <w:t>A quarterly review of EDR/XDR alert rules and thresholds shall be conducted to reduce false positives and improve detection fidelity.</w:t>
      </w:r>
    </w:p>
    <w:p>
      <w:pPr>
        <w:spacing w:before="160" w:after="60"/>
      </w:pPr>
      <w:r>
        <w:rPr>
          <w:b/>
          <w:color w:val="3A7CA5"/>
          <w:sz w:val="26"/>
        </w:rPr>
        <w:t>3.6 Incident Response</w:t>
      </w:r>
    </w:p>
    <w:p>
      <w:pPr>
        <w:spacing w:before="20" w:after="20"/>
      </w:pPr>
      <w:r>
        <w:rPr>
          <w:b/>
          <w:sz w:val="20"/>
        </w:rPr>
        <w:t xml:space="preserve">3.6.1  </w:t>
      </w:r>
      <w:r>
        <w:rPr>
          <w:sz w:val="20"/>
        </w:rPr>
        <w:t>Alerts confirmed as genuine security incidents shall follow the Incident Response Plan as documented in IRP-001.</w:t>
      </w:r>
    </w:p>
    <w:p>
      <w:pPr>
        <w:spacing w:before="20" w:after="20"/>
      </w:pPr>
      <w:r>
        <w:rPr>
          <w:b/>
          <w:sz w:val="20"/>
        </w:rPr>
        <w:t xml:space="preserve">3.6.2  </w:t>
      </w:r>
      <w:r>
        <w:rPr>
          <w:sz w:val="20"/>
        </w:rPr>
        <w:t>Post-incident reviews shall be conducted within 7 working days of incident closure.</w:t>
      </w:r>
    </w:p>
    <w:p>
      <w:pPr>
        <w:spacing w:before="20" w:after="20"/>
      </w:pPr>
      <w:r>
        <w:rPr>
          <w:b/>
          <w:sz w:val="20"/>
        </w:rPr>
        <w:t xml:space="preserve">3.6.3  </w:t>
      </w:r>
      <w:r>
        <w:rPr>
          <w:sz w:val="20"/>
        </w:rPr>
        <w:t>Lessons learned from incidents shall be incorporated into SIEM use cases and SOC processes within 15 working days.</w:t>
      </w:r>
    </w:p>
    <w:p>
      <w:pPr>
        <w:spacing w:before="200" w:after="80"/>
      </w:pPr>
      <w:r>
        <w:rPr>
          <w:b/>
          <w:color w:val="2C5F8A"/>
          <w:sz w:val="32"/>
        </w:rPr>
        <w:t>4. Roles and Responsibilities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Role</w:t>
            </w:r>
          </w:p>
        </w:tc>
        <w:tc>
          <w:tcPr>
            <w:tcW w:type="dxa" w:w="4703"/>
            <w:shd w:fill="1B3A5C"/>
          </w:tcPr>
          <w:p>
            <w:pPr>
              <w:spacing w:before="40" w:after="40"/>
            </w:pPr>
            <w:r>
              <w:rPr>
                <w:b/>
                <w:color w:val="FFFFFF"/>
                <w:sz w:val="20"/>
              </w:rPr>
            </w:r>
            <w:r>
              <w:rPr>
                <w:b/>
                <w:color w:val="FFFFFF"/>
                <w:sz w:val="20"/>
              </w:rPr>
              <w:t>Responsibility</w:t>
            </w:r>
          </w:p>
        </w:tc>
      </w:tr>
      <w:tr>
        <w:tc>
          <w:tcPr>
            <w:tcW w:type="dxa" w:w="4703"/>
          </w:tcPr>
          <w:p>
            <w:pPr>
              <w:spacing w:before="40" w:after="40"/>
            </w:pPr>
            <w:r>
              <w:rPr>
                <w:sz w:val="20"/>
              </w:rPr>
            </w:r>
            <w:r>
              <w:rPr>
                <w:sz w:val="20"/>
              </w:rPr>
              <w:t>CISO</w:t>
            </w:r>
          </w:p>
        </w:tc>
        <w:tc>
          <w:tcPr>
            <w:tcW w:type="dxa" w:w="4703"/>
          </w:tcPr>
          <w:p>
            <w:pPr>
              <w:spacing w:before="40" w:after="40"/>
            </w:pPr>
            <w:r>
              <w:rPr>
                <w:sz w:val="20"/>
              </w:rPr>
            </w:r>
            <w:r>
              <w:rPr>
                <w:sz w:val="20"/>
              </w:rPr>
              <w:t>Overall ownership of this policy, approval of deviations</w:t>
            </w:r>
          </w:p>
        </w:tc>
      </w:tr>
      <w:tr>
        <w:tc>
          <w:tcPr>
            <w:tcW w:type="dxa" w:w="4703"/>
            <w:shd w:fill="F2F7FB"/>
          </w:tcPr>
          <w:p>
            <w:pPr>
              <w:spacing w:before="40" w:after="40"/>
            </w:pPr>
            <w:r>
              <w:rPr>
                <w:sz w:val="20"/>
              </w:rPr>
            </w:r>
            <w:r>
              <w:rPr>
                <w:sz w:val="20"/>
              </w:rPr>
              <w:t>SOC Manager</w:t>
            </w:r>
          </w:p>
        </w:tc>
        <w:tc>
          <w:tcPr>
            <w:tcW w:type="dxa" w:w="4703"/>
            <w:shd w:fill="F2F7FB"/>
          </w:tcPr>
          <w:p>
            <w:pPr>
              <w:spacing w:before="40" w:after="40"/>
            </w:pPr>
            <w:r>
              <w:rPr>
                <w:sz w:val="20"/>
              </w:rPr>
            </w:r>
            <w:r>
              <w:rPr>
                <w:sz w:val="20"/>
              </w:rPr>
              <w:t>Day-to-day SOC operations, shift management, TAT compliance</w:t>
            </w:r>
          </w:p>
        </w:tc>
      </w:tr>
      <w:tr>
        <w:tc>
          <w:tcPr>
            <w:tcW w:type="dxa" w:w="4703"/>
          </w:tcPr>
          <w:p>
            <w:pPr>
              <w:spacing w:before="40" w:after="40"/>
            </w:pPr>
            <w:r>
              <w:rPr>
                <w:sz w:val="20"/>
              </w:rPr>
            </w:r>
            <w:r>
              <w:rPr>
                <w:sz w:val="20"/>
              </w:rPr>
              <w:t>SIEM Administrator</w:t>
            </w:r>
          </w:p>
        </w:tc>
        <w:tc>
          <w:tcPr>
            <w:tcW w:type="dxa" w:w="4703"/>
          </w:tcPr>
          <w:p>
            <w:pPr>
              <w:spacing w:before="40" w:after="40"/>
            </w:pPr>
            <w:r>
              <w:rPr>
                <w:sz w:val="20"/>
              </w:rPr>
            </w:r>
            <w:r>
              <w:rPr>
                <w:sz w:val="20"/>
              </w:rPr>
              <w:t>Platform maintenance, use case management, asset onboarding</w:t>
            </w:r>
          </w:p>
        </w:tc>
      </w:tr>
      <w:tr>
        <w:tc>
          <w:tcPr>
            <w:tcW w:type="dxa" w:w="4703"/>
            <w:shd w:fill="F2F7FB"/>
          </w:tcPr>
          <w:p>
            <w:pPr>
              <w:spacing w:before="40" w:after="40"/>
            </w:pPr>
            <w:r>
              <w:rPr>
                <w:sz w:val="20"/>
              </w:rPr>
            </w:r>
            <w:r>
              <w:rPr>
                <w:sz w:val="20"/>
              </w:rPr>
              <w:t>IT Asset Owners</w:t>
            </w:r>
          </w:p>
        </w:tc>
        <w:tc>
          <w:tcPr>
            <w:tcW w:type="dxa" w:w="4703"/>
            <w:shd w:fill="F2F7FB"/>
          </w:tcPr>
          <w:p>
            <w:pPr>
              <w:spacing w:before="40" w:after="40"/>
            </w:pPr>
            <w:r>
              <w:rPr>
                <w:sz w:val="20"/>
              </w:rPr>
            </w:r>
            <w:r>
              <w:rPr>
                <w:sz w:val="20"/>
              </w:rPr>
              <w:t>Ensuring asset readiness for SIEM onboarding</w:t>
            </w:r>
          </w:p>
        </w:tc>
      </w:tr>
      <w:tr>
        <w:tc>
          <w:tcPr>
            <w:tcW w:type="dxa" w:w="4703"/>
          </w:tcPr>
          <w:p>
            <w:pPr>
              <w:spacing w:before="40" w:after="40"/>
            </w:pPr>
            <w:r>
              <w:rPr>
                <w:sz w:val="20"/>
              </w:rPr>
            </w:r>
            <w:r>
              <w:rPr>
                <w:sz w:val="20"/>
              </w:rPr>
              <w:t>Internal Audit</w:t>
            </w:r>
          </w:p>
        </w:tc>
        <w:tc>
          <w:tcPr>
            <w:tcW w:type="dxa" w:w="4703"/>
          </w:tcPr>
          <w:p>
            <w:pPr>
              <w:spacing w:before="40" w:after="40"/>
            </w:pPr>
            <w:r>
              <w:rPr>
                <w:sz w:val="20"/>
              </w:rPr>
            </w:r>
            <w:r>
              <w:rPr>
                <w:sz w:val="20"/>
              </w:rPr>
              <w:t>Periodic review of compliance to this policy</w:t>
            </w:r>
          </w:p>
        </w:tc>
      </w:tr>
    </w:tbl>
    <w:p/>
    <w:p>
      <w:pPr>
        <w:spacing w:before="200" w:after="80"/>
      </w:pPr>
      <w:r>
        <w:rPr>
          <w:b/>
          <w:color w:val="2C5F8A"/>
          <w:sz w:val="32"/>
        </w:rPr>
        <w:t>5. Compliance and Enforcement</w:t>
      </w:r>
    </w:p>
    <w:p>
      <w:pPr>
        <w:spacing w:before="20" w:after="20"/>
      </w:pPr>
      <w:r>
        <w:rPr>
          <w:b/>
          <w:sz w:val="20"/>
        </w:rPr>
        <w:t xml:space="preserve">5.1  </w:t>
      </w:r>
      <w:r>
        <w:rPr>
          <w:sz w:val="20"/>
        </w:rPr>
        <w:t>Compliance with this policy shall be monitored through monthly audits conducted by Internal Audit.</w:t>
      </w:r>
    </w:p>
    <w:p>
      <w:pPr>
        <w:spacing w:before="20" w:after="20"/>
      </w:pPr>
      <w:r>
        <w:rPr>
          <w:b/>
          <w:sz w:val="20"/>
        </w:rPr>
        <w:t xml:space="preserve">5.2  </w:t>
      </w:r>
      <w:r>
        <w:rPr>
          <w:sz w:val="20"/>
        </w:rPr>
        <w:t>Any deviation from this policy shall be documented with an approved exception memo from the CISO.</w:t>
      </w:r>
    </w:p>
    <w:p>
      <w:pPr>
        <w:spacing w:before="20" w:after="20"/>
      </w:pPr>
      <w:r>
        <w:rPr>
          <w:b/>
          <w:sz w:val="20"/>
        </w:rPr>
        <w:t xml:space="preserve">5.3  </w:t>
      </w:r>
      <w:r>
        <w:rPr>
          <w:sz w:val="20"/>
        </w:rPr>
        <w:t>Non-compliance by employees may result in disciplinary action as per the bank's HR policy.</w:t>
      </w:r>
    </w:p>
    <w:p>
      <w:pPr>
        <w:spacing w:before="20" w:after="20"/>
      </w:pPr>
      <w:r>
        <w:rPr>
          <w:b/>
          <w:sz w:val="20"/>
        </w:rPr>
        <w:t xml:space="preserve">5.4  </w:t>
      </w:r>
      <w:r>
        <w:rPr>
          <w:sz w:val="20"/>
        </w:rPr>
        <w:t>Observations of non-compliance shall be reported to the IT Strategy Committee.</w:t>
      </w:r>
    </w:p>
    <w:p>
      <w:pPr>
        <w:spacing w:before="200" w:after="80"/>
      </w:pPr>
      <w:r>
        <w:rPr>
          <w:b/>
          <w:color w:val="2C5F8A"/>
          <w:sz w:val="32"/>
        </w:rPr>
        <w:t>6. Related Documents</w:t>
      </w:r>
    </w:p>
    <w:p>
      <w:pPr>
        <w:spacing w:before="20" w:after="20"/>
        <w:ind w:left="567"/>
      </w:pPr>
      <w:r>
        <w:rPr>
          <w:sz w:val="20"/>
        </w:rPr>
        <w:t xml:space="preserve">  </w:t>
      </w:r>
      <w:r>
        <w:rPr>
          <w:sz w:val="20"/>
        </w:rPr>
        <w:t>DI-10-02: SIEM Asset Onboarding Status</w:t>
      </w:r>
    </w:p>
    <w:p>
      <w:pPr>
        <w:spacing w:before="20" w:after="20"/>
        <w:ind w:left="567"/>
      </w:pPr>
      <w:r>
        <w:rPr>
          <w:sz w:val="20"/>
        </w:rPr>
        <w:t xml:space="preserve">  </w:t>
      </w:r>
      <w:r>
        <w:rPr>
          <w:sz w:val="20"/>
        </w:rPr>
        <w:t>DI-10-03: EDR/XDR Alert Backlog Report</w:t>
      </w:r>
    </w:p>
    <w:p>
      <w:pPr>
        <w:spacing w:before="20" w:after="20"/>
        <w:ind w:left="567"/>
      </w:pPr>
      <w:r>
        <w:rPr>
          <w:sz w:val="20"/>
        </w:rPr>
        <w:t xml:space="preserve">  </w:t>
      </w:r>
      <w:r>
        <w:rPr>
          <w:sz w:val="20"/>
        </w:rPr>
        <w:t>DI-10-04: SOC Alert TAT Definition</w:t>
      </w:r>
    </w:p>
    <w:p>
      <w:pPr>
        <w:spacing w:before="20" w:after="20"/>
        <w:ind w:left="567"/>
      </w:pPr>
      <w:r>
        <w:rPr>
          <w:sz w:val="20"/>
        </w:rPr>
        <w:t xml:space="preserve">  </w:t>
      </w:r>
      <w:r>
        <w:rPr>
          <w:sz w:val="20"/>
        </w:rPr>
        <w:t>IRP-001: Incident Response Plan</w:t>
      </w:r>
    </w:p>
    <w:p>
      <w:pPr>
        <w:spacing w:before="20" w:after="20"/>
        <w:ind w:left="567"/>
      </w:pPr>
      <w:r>
        <w:rPr>
          <w:sz w:val="20"/>
        </w:rPr>
        <w:t xml:space="preserve">  </w:t>
      </w:r>
      <w:r>
        <w:rPr>
          <w:sz w:val="20"/>
        </w:rPr>
        <w:t>ISMS-P-007: Information Security Policy</w:t>
      </w:r>
    </w:p>
    <w:p>
      <w:pPr>
        <w:spacing w:before="200" w:after="80"/>
      </w:pPr>
      <w:r>
        <w:rPr>
          <w:b/>
          <w:color w:val="2C5F8A"/>
          <w:sz w:val="32"/>
        </w:rPr>
        <w:t>7. Review and Amendment</w:t>
      </w:r>
    </w:p>
    <w:p>
      <w:pPr>
        <w:spacing w:before="20" w:after="20"/>
      </w:pPr>
      <w:r>
        <w:rPr>
          <w:sz w:val="20"/>
        </w:rPr>
        <w:t>This policy shall be reviewed annually by the CISO and approved by the IT Strategy Committee. Amendments to this policy require the approval of the CISO and the IT Strategy Committee.</w:t>
      </w:r>
    </w:p>
    <w:p>
      <w:pPr>
        <w:spacing w:before="120" w:after="40"/>
      </w:pPr>
      <w:r>
        <w:rPr>
          <w:b/>
          <w:color w:val="4A90B0"/>
          <w:sz w:val="22"/>
        </w:rPr>
        <w:t>END OF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