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b/>
          <w:bCs/>
          <w:color w:val="C00000"/>
          <w:sz w:val="26"/>
          <w:szCs w:val="26"/>
        </w:rPr>
        <w:t xml:space="preserve">CONFIDENTIAL</w:t>
      </w:r>
    </w:p>
    <w:p>
      <w:pPr>
        <w:spacing w:after="40"/>
        <w:jc w:val="center"/>
      </w:pPr>
      <w:r>
        <w:rPr>
          <w:b/>
          <w:bCs/>
          <w:color w:val="1F3864"/>
          <w:sz w:val="30"/>
          <w:szCs w:val="30"/>
        </w:rPr>
        <w:t xml:space="preserve">RESERVE BANK OF INDIA</w:t>
      </w:r>
    </w:p>
    <w:p>
      <w:pPr>
        <w:spacing w:after="40"/>
        <w:jc w:val="center"/>
      </w:pPr>
      <w:r>
        <w:rPr>
          <w:b/>
          <w:bCs/>
          <w:color w:val="1F3864"/>
          <w:sz w:val="24"/>
          <w:szCs w:val="24"/>
        </w:rPr>
        <w:t xml:space="preserve">DEPARTMENT OF SUPERVISION</w:t>
      </w:r>
    </w:p>
    <w:p>
      <w:pPr>
        <w:spacing w:after="360"/>
        <w:jc w:val="center"/>
      </w:pPr>
      <w:r>
        <w:rPr>
          <w:b/>
          <w:bCs/>
          <w:color w:val="595959"/>
          <w:sz w:val="22"/>
          <w:szCs w:val="22"/>
        </w:rPr>
        <w:t xml:space="preserve">Cyber Security and IT Examination Group (CSITEG)</w:t>
      </w:r>
    </w:p>
    <w:p>
      <w:pPr>
        <w:spacing w:after="280"/>
        <w:jc w:val="center"/>
      </w:pPr>
      <w:r>
        <w:rPr>
          <w:b/>
          <w:bCs/>
          <w:color w:val="2E5496"/>
          <w:sz w:val="26"/>
          <w:szCs w:val="26"/>
        </w:rPr>
        <w:t xml:space="preserve">Draft Report on IT Examination</w:t>
      </w:r>
    </w:p>
    <w:p>
      <w:pPr>
        <w:spacing w:after="60"/>
        <w:jc w:val="center"/>
      </w:pPr>
      <w:r>
        <w:rPr>
          <w:b/>
          <w:bCs/>
          <w:color w:val="1F3864"/>
          <w:sz w:val="36"/>
          <w:szCs w:val="36"/>
        </w:rPr>
        <w:t xml:space="preserve">Saptarishi Capital Limited</w:t>
      </w:r>
    </w:p>
    <w:p>
      <w:pPr>
        <w:spacing w:after="200"/>
        <w:jc w:val="center"/>
      </w:pPr>
      <w:r>
        <w:rPr>
          <w:b w:val="false"/>
          <w:bCs w:val="false"/>
          <w:i/>
          <w:iCs/>
          <w:color w:val="595959"/>
          <w:sz w:val="20"/>
          <w:szCs w:val="20"/>
        </w:rPr>
        <w:t xml:space="preserve">Non-Banking Financial Company — Upper Layer (card-issuing; digital lending)</w:t>
      </w:r>
    </w:p>
    <w:p>
      <w:pPr>
        <w:spacing w:after="60"/>
        <w:jc w:val="center"/>
      </w:pPr>
      <w:r>
        <w:rPr>
          <w:b/>
          <w:bCs/>
          <w:color w:val="262626"/>
          <w:sz w:val="22"/>
          <w:szCs w:val="22"/>
        </w:rPr>
        <w:t xml:space="preserve">March 17 to 26, 2025</w:t>
      </w:r>
    </w:p>
    <w:p>
      <w:pPr>
        <w:spacing w:after="400"/>
        <w:jc w:val="center"/>
      </w:pPr>
      <w:r>
        <w:rPr>
          <w:b w:val="false"/>
          <w:bCs w:val="false"/>
          <w:color w:val="595959"/>
          <w:sz w:val="18"/>
          <w:szCs w:val="18"/>
        </w:rPr>
        <w:t xml:space="preserve">Examination reference: DoS.CO.CSITEG.ITE.NBFC.0309/2024-25</w:t>
      </w:r>
    </w:p>
    <w:p>
      <w:pPr>
        <w:pBdr>
          <w:top w:val="single" w:color="C00000" w:sz="6" w:space="6"/>
          <w:bottom w:val="single" w:color="C00000" w:sz="6" w:space="6"/>
        </w:pBdr>
        <w:spacing w:after="40" w:before="300"/>
        <w:jc w:val="center"/>
      </w:pPr>
      <w:r>
        <w:rPr>
          <w:b/>
          <w:bCs/>
          <w:color w:val="C00000"/>
          <w:sz w:val="16"/>
          <w:szCs w:val="16"/>
        </w:rPr>
        <w:t xml:space="preserve">FICTIONAL / ILLUSTRATIVE SAMPLE — NOT A REAL SUPERVISORY DOCUMENT</w:t>
      </w:r>
    </w:p>
    <w:p>
      <w:pPr>
        <w:jc w:val="center"/>
      </w:pPr>
      <w:r>
        <w:rPr>
          <w:i/>
          <w:iCs/>
          <w:color w:val="595959"/>
          <w:sz w:val="15"/>
          <w:szCs w:val="15"/>
        </w:rPr>
        <w:t xml:space="preserve">All entities, persons, systems, vendors, data and findings herein are entirely fictional.</w:t>
      </w:r>
    </w:p>
    <w:p>
      <w:r>
        <w:br w:type="page"/>
      </w:r>
    </w:p>
    <w:p>
      <w:pPr>
        <w:pStyle w:val="Heading1"/>
        <w:shd w:fill="1F3864" w:val="clear"/>
        <w:spacing w:after="160" w:before="240"/>
      </w:pPr>
      <w:r>
        <w:rPr>
          <w:b/>
          <w:bCs/>
          <w:color w:val="FFFFFF"/>
          <w:sz w:val="24"/>
          <w:szCs w:val="24"/>
        </w:rPr>
        <w:t xml:space="preserve">CONTENT</w:t>
      </w:r>
    </w:p>
    <w:sdt>
      <w:sdtPr>
        <w:alias w:val="Content"/>
      </w:sdtPr>
      <w:sdtContent>
        <w:p>
          <w:r>
            <w:fldChar w:fldCharType="begin" w:dirty="true"/>
            <w:instrText xml:space="preserve">TOC \h \o "1-1"</w:instrText>
            <w:fldChar w:fldCharType="separate"/>
          </w:r>
        </w:p>
        <w:p>
          <w:r>
            <w:fldChar w:fldCharType="end"/>
          </w:r>
        </w:p>
      </w:sdtContent>
    </w:sdt>
    <w:p>
      <w:r>
        <w:br w:type="page"/>
      </w:r>
    </w:p>
    <w:p>
      <w:pPr>
        <w:pStyle w:val="Heading1"/>
        <w:shd w:fill="1F3864" w:val="clear"/>
        <w:spacing w:after="160" w:before="240"/>
      </w:pPr>
      <w:r>
        <w:rPr>
          <w:b/>
          <w:bCs/>
          <w:color w:val="FFFFFF"/>
          <w:sz w:val="24"/>
          <w:szCs w:val="24"/>
        </w:rPr>
        <w:t xml:space="preserve">Section 1: Background and Introduction</w:t>
      </w:r>
    </w:p>
    <w:p>
      <w:pPr>
        <w:spacing w:after="120" w:line="276"/>
      </w:pPr>
      <w:r>
        <w:rPr>
          <w:b/>
          <w:bCs/>
        </w:rPr>
        <w:t xml:space="preserve">1.1   </w:t>
      </w:r>
      <w:r>
        <w:t xml:space="preserve">The IT Examination of Saptarishi Capital Limited (NBFC – Upper Layer) was conducted March 17 to 26, 2025. The focus of the examination was to assess the cyber security risk in the entity by examining in detail the cyber security and resilience framework implemented by the entity in terms of the following circulars / directions of the Reserve Bank of India (RBI):</w:t>
      </w:r>
    </w:p>
    <w:p>
      <w:pPr>
        <w:pStyle w:val="ListParagraph"/>
        <w:numPr>
          <w:ilvl w:val="0"/>
          <w:numId w:val="2"/>
        </w:numPr>
        <w:spacing w:after="80" w:line="264"/>
      </w:pPr>
      <w:r>
        <w:t xml:space="preserve">RBI Master Direction DoS.CO.CSITEG/SEC.7/31.01.015/2023-24 on Information Technology Governance, Risk, Controls and Assurance Practices dated November 7, 2023.</w:t>
      </w:r>
    </w:p>
    <w:p>
      <w:pPr>
        <w:pStyle w:val="ListParagraph"/>
        <w:numPr>
          <w:ilvl w:val="0"/>
          <w:numId w:val="2"/>
        </w:numPr>
        <w:spacing w:after="80" w:line="264"/>
      </w:pPr>
      <w:r>
        <w:t xml:space="preserve">RBI Master Direction DoS.CO.CSITE.SEC.No.1852/31.01.015/2020-21 on Digital Payment Security Controls dated February 18, 2021. (applicable as a card-issuing NBFC)</w:t>
      </w:r>
    </w:p>
    <w:p>
      <w:pPr>
        <w:pStyle w:val="ListParagraph"/>
        <w:numPr>
          <w:ilvl w:val="0"/>
          <w:numId w:val="2"/>
        </w:numPr>
        <w:spacing w:after="80" w:line="264"/>
      </w:pPr>
      <w:r>
        <w:t xml:space="preserve">Master Direction DoS.CO.CSITEG/SEC.1/31.01.015/2023-24 on Outsourcing of Information Technology Services dated April 10, 2023.</w:t>
      </w:r>
    </w:p>
    <w:p>
      <w:pPr>
        <w:pStyle w:val="ListParagraph"/>
        <w:numPr>
          <w:ilvl w:val="0"/>
          <w:numId w:val="2"/>
        </w:numPr>
        <w:spacing w:after="80" w:line="264"/>
      </w:pPr>
      <w:r>
        <w:t xml:space="preserve">RBI Guidelines on Digital Lending (DoR.CRE.REC.66/21.07.001/2022-23) dated September 02, 2022.</w:t>
      </w:r>
    </w:p>
    <w:p>
      <w:pPr>
        <w:spacing w:after="120" w:line="276"/>
      </w:pPr>
      <w:r>
        <w:rPr>
          <w:b/>
          <w:bCs/>
        </w:rPr>
        <w:t xml:space="preserve">1.2   </w:t>
      </w:r>
      <w:r>
        <w:t xml:space="preserve">The approach adopted for the examination included the following:</w:t>
      </w:r>
    </w:p>
    <w:p>
      <w:pPr>
        <w:pStyle w:val="ListParagraph"/>
        <w:numPr>
          <w:ilvl w:val="0"/>
          <w:numId w:val="2"/>
        </w:numPr>
        <w:spacing w:after="90" w:line="268"/>
      </w:pPr>
      <w:r>
        <w:t xml:space="preserve">Meetings with the entity on IT / Information Security (IS) / Cyber Security (CS) organizational structure, measures implemented, enterprise architecture for applications and infrastructure, digital initiatives and cyber security roadmap.</w:t>
      </w:r>
    </w:p>
    <w:p>
      <w:pPr>
        <w:pStyle w:val="ListParagraph"/>
        <w:numPr>
          <w:ilvl w:val="0"/>
          <w:numId w:val="2"/>
        </w:numPr>
        <w:spacing w:after="90" w:line="268"/>
      </w:pPr>
      <w:r>
        <w:t xml:space="preserve">Structured meetings and interactions with Head-IT, select business / technology functions, the Chief Information Security Officer (CISO), IT operations, IT / IS security teams and IS-Audit.</w:t>
      </w:r>
    </w:p>
    <w:p>
      <w:pPr>
        <w:pStyle w:val="ListParagraph"/>
        <w:numPr>
          <w:ilvl w:val="0"/>
          <w:numId w:val="2"/>
        </w:numPr>
        <w:spacing w:after="90" w:line="268"/>
      </w:pPr>
      <w:r>
        <w:t xml:space="preserve">Perusal / review of agenda and minutes of committee meetings, IT / IS audit reports, BCP / DR documentation and VA/PT reports, on a sample basis.</w:t>
      </w:r>
    </w:p>
    <w:p>
      <w:pPr>
        <w:pStyle w:val="ListParagraph"/>
        <w:numPr>
          <w:ilvl w:val="0"/>
          <w:numId w:val="2"/>
        </w:numPr>
        <w:spacing w:after="90" w:line="268"/>
      </w:pPr>
      <w:r>
        <w:t xml:space="preserve">Walkthrough of security solutions, infrastructure and applications, on a sample basis, as demonstrated by the entity.</w:t>
      </w:r>
    </w:p>
    <w:p>
      <w:pPr>
        <w:pStyle w:val="ListParagraph"/>
        <w:numPr>
          <w:ilvl w:val="0"/>
          <w:numId w:val="2"/>
        </w:numPr>
        <w:spacing w:after="90" w:line="268"/>
      </w:pPr>
      <w:r>
        <w:t xml:space="preserve">Response of the entity to specific queries / clarifications elicited.</w:t>
      </w:r>
    </w:p>
    <w:p>
      <w:pPr>
        <w:pStyle w:val="ListParagraph"/>
        <w:numPr>
          <w:ilvl w:val="0"/>
          <w:numId w:val="2"/>
        </w:numPr>
        <w:spacing w:after="90" w:line="268"/>
      </w:pPr>
      <w:r>
        <w:t xml:space="preserve">Compliance testing rather than substantive testing.</w:t>
      </w:r>
    </w:p>
    <w:p>
      <w:pPr>
        <w:pStyle w:val="ListParagraph"/>
        <w:numPr>
          <w:ilvl w:val="0"/>
          <w:numId w:val="2"/>
        </w:numPr>
        <w:spacing w:after="90" w:line="268"/>
      </w:pPr>
      <w:r>
        <w:t xml:space="preserve">Review of the (cloud-hosted, India-resident) production and DR environments.</w:t>
      </w:r>
    </w:p>
    <w:p>
      <w:pPr>
        <w:spacing w:after="120" w:line="276"/>
      </w:pPr>
      <w:r>
        <w:rPr>
          <w:b/>
          <w:bCs/>
        </w:rPr>
        <w:t xml:space="preserve">1.3   </w:t>
      </w:r>
      <w:r>
        <w:t xml:space="preserve">Cyber security risk assessment is a point-in-time assessment subject to change over a period. Even though observations are made based on sample data / systems, the entity needs to ensure that the issues raised are resolved at a systemic level (holistically) and that necessary systems / controls are in place to ensure sustenance of such compliance.</w:t>
      </w:r>
    </w:p>
    <w:p>
      <w:pPr>
        <w:spacing w:after="120" w:line="276"/>
      </w:pPr>
      <w:r>
        <w:rPr>
          <w:b/>
          <w:bCs/>
        </w:rPr>
        <w:t xml:space="preserve">1.4   </w:t>
      </w:r>
      <w:r>
        <w:t xml:space="preserve">Profile of the entity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126"/>
        <w:gridCol w:w="3100"/>
      </w:tblGrid>
      <w:tr>
        <w:trPr>
          <w:tblHeader/>
        </w:trPr>
        <w:tc>
          <w:tcPr>
            <w:tcW w:type="dxa" w:w="8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 No.</w:t>
            </w:r>
          </w:p>
        </w:tc>
        <w:tc>
          <w:tcPr>
            <w:tcW w:type="dxa" w:w="512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Parameter</w:t>
            </w:r>
          </w:p>
        </w:tc>
        <w:tc>
          <w:tcPr>
            <w:tcW w:type="dxa" w:w="31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As on March 31, 2024</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Assets under management (₹ in crore)</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62,300.00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Number of borrowers / cardholders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33,40,000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Co-branded credit cards issued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11,80,000</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Digital lending apps (DLA) / LSPs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Multiple proprietary and partner apps / lending service providers</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Co-lending / card partners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Several bank and card partners</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6</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Data hosting</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Cloud-hosted with India data residency</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7</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Lines of business</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Digital lending, co-lending, co-branded credit cards</w:t>
            </w:r>
          </w:p>
        </w:tc>
      </w:tr>
      <w:tr>
        <w:tc>
          <w:tcPr>
            <w:tcW w:type="dxa" w:w="8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8</w:t>
            </w:r>
          </w:p>
        </w:tc>
        <w:tc>
          <w:tcPr>
            <w:tcW w:type="dxa" w:w="512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Critical assets identified</w:t>
            </w:r>
          </w:p>
        </w:tc>
        <w:tc>
          <w:tcPr>
            <w:tcW w:type="dxa" w:w="31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Loan Management System, Card Management System (CMS), Partner APIs, DLAs</w:t>
            </w:r>
          </w:p>
        </w:tc>
      </w:tr>
    </w:tbl>
    <w:p>
      <w:r>
        <w:br w:type="page"/>
      </w:r>
    </w:p>
    <w:p>
      <w:pPr>
        <w:pStyle w:val="Heading1"/>
        <w:shd w:fill="1F3864" w:val="clear"/>
        <w:spacing w:after="160" w:before="240"/>
      </w:pPr>
      <w:r>
        <w:rPr>
          <w:b/>
          <w:bCs/>
          <w:color w:val="FFFFFF"/>
          <w:sz w:val="24"/>
          <w:szCs w:val="24"/>
        </w:rPr>
        <w:t xml:space="preserve">Section 2: Executive Summary</w:t>
      </w:r>
    </w:p>
    <w:p>
      <w:pPr>
        <w:pStyle w:val="Heading2"/>
        <w:shd w:fill="DCE6F1" w:val="clear"/>
        <w:spacing w:after="100" w:before="180"/>
      </w:pPr>
      <w:r>
        <w:rPr>
          <w:b/>
          <w:bCs/>
          <w:color w:val="1F3864"/>
          <w:sz w:val="21"/>
          <w:szCs w:val="21"/>
        </w:rPr>
        <w:t xml:space="preserve">Digital Lending Technology Governance and Conduct</w:t>
      </w:r>
    </w:p>
    <w:p>
      <w:pPr>
        <w:pStyle w:val="ListParagraph"/>
        <w:numPr>
          <w:ilvl w:val="0"/>
          <w:numId w:val="2"/>
        </w:numPr>
        <w:spacing w:after="90" w:line="268"/>
      </w:pPr>
      <w:r>
        <w:t xml:space="preserve">Lending service providers and apps had broader access to customer data than necessary and data-access logging was incomplete; non-adherence to the data-access provisions of the Digital Lending Guidelines and the IT Governance Directions, 2023.</w:t>
      </w:r>
    </w:p>
    <w:p>
      <w:pPr>
        <w:pStyle w:val="Heading2"/>
        <w:shd w:fill="DCE6F1" w:val="clear"/>
        <w:spacing w:after="100" w:before="180"/>
      </w:pPr>
      <w:r>
        <w:rPr>
          <w:b/>
          <w:bCs/>
          <w:color w:val="1F3864"/>
          <w:sz w:val="21"/>
          <w:szCs w:val="21"/>
        </w:rPr>
        <w:t xml:space="preserve">Card-Management System / Card-Data Protection</w:t>
      </w:r>
    </w:p>
    <w:p>
      <w:pPr>
        <w:pStyle w:val="ListParagraph"/>
        <w:numPr>
          <w:ilvl w:val="0"/>
          <w:numId w:val="2"/>
        </w:numPr>
        <w:spacing w:after="90" w:line="268"/>
      </w:pPr>
      <w:r>
        <w:t xml:space="preserve">Card-data protection (PCI-DSS scope) and tokenisation gaps were observed in parts of the estate, which were non-adherence to the card-payment-security provisions of the DPSC Master Direction.</w:t>
      </w:r>
    </w:p>
    <w:p>
      <w:pPr>
        <w:pStyle w:val="Heading2"/>
        <w:shd w:fill="DCE6F1" w:val="clear"/>
        <w:spacing w:after="100" w:before="180"/>
      </w:pPr>
      <w:r>
        <w:rPr>
          <w:b/>
          <w:bCs/>
          <w:color w:val="1F3864"/>
          <w:sz w:val="21"/>
          <w:szCs w:val="21"/>
        </w:rPr>
        <w:t xml:space="preserve">Partner / Co-lending API and Outsourcing</w:t>
      </w:r>
    </w:p>
    <w:p>
      <w:pPr>
        <w:pStyle w:val="ListParagraph"/>
        <w:numPr>
          <w:ilvl w:val="0"/>
          <w:numId w:val="2"/>
        </w:numPr>
        <w:spacing w:after="90" w:line="268"/>
      </w:pPr>
      <w:r>
        <w:t xml:space="preserve">Due diligence and ongoing monitoring of co-lending / card partners and their API security were not commensurate with the reliance placed on them.</w:t>
      </w:r>
    </w:p>
    <w:p>
      <w:r>
        <w:br w:type="page"/>
      </w:r>
    </w:p>
    <w:p>
      <w:pPr>
        <w:pStyle w:val="Heading1"/>
        <w:shd w:fill="1F3864" w:val="clear"/>
        <w:spacing w:after="160" w:before="240"/>
      </w:pPr>
      <w:r>
        <w:rPr>
          <w:b/>
          <w:bCs/>
          <w:color w:val="FFFFFF"/>
          <w:sz w:val="24"/>
          <w:szCs w:val="24"/>
        </w:rPr>
        <w:t xml:space="preserve">Section 3: IT Examination Observations and Action Points</w:t>
      </w:r>
    </w:p>
    <w:p>
      <w:pPr>
        <w:pStyle w:val="Heading2"/>
        <w:shd w:fill="DCE6F1" w:val="clear"/>
        <w:spacing w:after="100" w:before="180"/>
      </w:pPr>
      <w:r>
        <w:rPr>
          <w:b/>
          <w:bCs/>
          <w:color w:val="1F3864"/>
          <w:sz w:val="21"/>
          <w:szCs w:val="21"/>
        </w:rPr>
        <w:t xml:space="preserve">Information Technology (IT) and Information Security (IS) Governance</w:t>
      </w:r>
    </w:p>
    <w:p>
      <w:pPr>
        <w:pStyle w:val="ListParagraph"/>
        <w:numPr>
          <w:ilvl w:val="0"/>
          <w:numId w:val="2"/>
        </w:numPr>
        <w:tabs>
          <w:tab w:val="right" w:pos="8926"/>
        </w:tabs>
        <w:spacing w:after="90" w:line="268"/>
      </w:pPr>
      <w:r>
        <w:t xml:space="preserve">Rapid product iteration was not consistently matched by IT-risk review and approval before launch; security / risk gating was not embedded in the product-release process, which was non-adherence to the project / risk-governance provisions of the IT Governance Directions, 2023.</w:t>
      </w:r>
      <w:r>
        <w:rPr>
          <w:b/>
          <w:bCs/>
        </w:rPr>
        <w:t xml:space="preserve">	(Action)</w:t>
      </w:r>
    </w:p>
    <w:p>
      <w:pPr>
        <w:pStyle w:val="Heading2"/>
        <w:shd w:fill="DCE6F1" w:val="clear"/>
        <w:spacing w:after="100" w:before="180"/>
      </w:pPr>
      <w:r>
        <w:rPr>
          <w:b/>
          <w:bCs/>
          <w:color w:val="1F3864"/>
          <w:sz w:val="21"/>
          <w:szCs w:val="21"/>
        </w:rPr>
        <w:t xml:space="preserve">Digital Lending Technology Governance and Conduct</w:t>
      </w:r>
    </w:p>
    <w:p>
      <w:pPr>
        <w:spacing w:after="120" w:line="276"/>
      </w:pPr>
      <w:r>
        <w:t xml:space="preserve">The following gaps were observed, which were in violation of the Guidelines on Digital Lending dated September 02, 2022 and the third-party provisions of the IT Governance Directions, 2023:</w:t>
      </w:r>
    </w:p>
    <w:p>
      <w:pPr>
        <w:pStyle w:val="ListParagraph"/>
        <w:numPr>
          <w:ilvl w:val="0"/>
          <w:numId w:val="2"/>
        </w:numPr>
        <w:tabs>
          <w:tab w:val="right" w:pos="8926"/>
        </w:tabs>
        <w:spacing w:after="90" w:line="268"/>
      </w:pPr>
      <w:r>
        <w:t xml:space="preserve">Lending service providers and apps had broader access to customer data than necessary and data-access logging was incomplete.</w:t>
      </w:r>
      <w:r>
        <w:rPr>
          <w:b/>
          <w:bCs/>
        </w:rPr>
        <w:t xml:space="preserve">	(Action)</w:t>
      </w:r>
    </w:p>
    <w:p>
      <w:pPr>
        <w:pStyle w:val="ListParagraph"/>
        <w:numPr>
          <w:ilvl w:val="0"/>
          <w:numId w:val="2"/>
        </w:numPr>
        <w:tabs>
          <w:tab w:val="right" w:pos="8926"/>
        </w:tabs>
        <w:spacing w:after="90" w:line="268"/>
      </w:pPr>
      <w:r>
        <w:t xml:space="preserve">Controls ensuring direct borrower-to-NBFC flows (without third-party pass-through) and standardised disclosures were not uniformly enforced across apps.</w:t>
      </w:r>
      <w:r>
        <w:rPr>
          <w:b/>
          <w:bCs/>
        </w:rPr>
        <w:t xml:space="preserve">	(Action)</w:t>
      </w:r>
    </w:p>
    <w:p>
      <w:pPr>
        <w:pStyle w:val="Heading2"/>
        <w:shd w:fill="DCE6F1" w:val="clear"/>
        <w:spacing w:after="100" w:before="180"/>
      </w:pPr>
      <w:r>
        <w:rPr>
          <w:b/>
          <w:bCs/>
          <w:color w:val="1F3864"/>
          <w:sz w:val="21"/>
          <w:szCs w:val="21"/>
        </w:rPr>
        <w:t xml:space="preserve">Card-Management System and Card-Data Protection</w:t>
      </w:r>
    </w:p>
    <w:p>
      <w:pPr>
        <w:spacing w:after="120" w:line="276"/>
      </w:pPr>
      <w:r>
        <w:t xml:space="preserve">The following gaps were observed, which were in violation of the card-payment-security provisions of the DPSC Master Direction dated February 18, 2021:</w:t>
      </w:r>
    </w:p>
    <w:p>
      <w:pPr>
        <w:pStyle w:val="ListParagraph"/>
        <w:numPr>
          <w:ilvl w:val="0"/>
          <w:numId w:val="2"/>
        </w:numPr>
        <w:tabs>
          <w:tab w:val="right" w:pos="8926"/>
        </w:tabs>
        <w:spacing w:after="90" w:line="268"/>
      </w:pPr>
      <w:r>
        <w:t xml:space="preserve">Card data was not fully tokenised across the estate and certain components were not within a validated PCI-DSS scope.</w:t>
      </w:r>
      <w:r>
        <w:rPr>
          <w:b/>
          <w:bCs/>
        </w:rPr>
        <w:t xml:space="preserve">	(Action)</w:t>
      </w:r>
    </w:p>
    <w:p>
      <w:pPr>
        <w:pStyle w:val="ListParagraph"/>
        <w:numPr>
          <w:ilvl w:val="0"/>
          <w:numId w:val="2"/>
        </w:numPr>
        <w:tabs>
          <w:tab w:val="right" w:pos="8926"/>
        </w:tabs>
        <w:spacing w:after="90" w:line="268"/>
      </w:pPr>
      <w:r>
        <w:t xml:space="preserve">PII / card data was not consistently masked in non-production environments.</w:t>
      </w:r>
      <w:r>
        <w:rPr>
          <w:b/>
          <w:bCs/>
        </w:rPr>
        <w:t xml:space="preserve">	(Action)</w:t>
      </w:r>
    </w:p>
    <w:p>
      <w:pPr>
        <w:pStyle w:val="Heading2"/>
        <w:shd w:fill="DCE6F1" w:val="clear"/>
        <w:spacing w:after="100" w:before="180"/>
      </w:pPr>
      <w:r>
        <w:rPr>
          <w:b/>
          <w:bCs/>
          <w:color w:val="1F3864"/>
          <w:sz w:val="21"/>
          <w:szCs w:val="21"/>
        </w:rPr>
        <w:t xml:space="preserve">Partner / Co-lending API and Outsourcing</w:t>
      </w:r>
    </w:p>
    <w:p>
      <w:pPr>
        <w:spacing w:after="120" w:line="276"/>
      </w:pPr>
      <w:r>
        <w:t xml:space="preserve">The following gaps were observed, which were in violation of the Master Direction on Outsourcing of IT Services dated April 10, 2023:</w:t>
      </w:r>
    </w:p>
    <w:p>
      <w:pPr>
        <w:pStyle w:val="ListParagraph"/>
        <w:numPr>
          <w:ilvl w:val="0"/>
          <w:numId w:val="2"/>
        </w:numPr>
        <w:tabs>
          <w:tab w:val="right" w:pos="8926"/>
        </w:tabs>
        <w:spacing w:after="90" w:line="268"/>
      </w:pPr>
      <w:r>
        <w:t xml:space="preserve">Due diligence and ongoing monitoring of co-lending / card partners and their API security were not commensurate with reliance; exit arrangements and an inventory of outsourced services were incomplete.</w:t>
      </w:r>
      <w:r>
        <w:rPr>
          <w:b/>
          <w:bCs/>
        </w:rPr>
        <w:t xml:space="preserve">	(Action)</w:t>
      </w:r>
    </w:p>
    <w:p>
      <w:pPr>
        <w:pStyle w:val="ListParagraph"/>
        <w:numPr>
          <w:ilvl w:val="0"/>
          <w:numId w:val="2"/>
        </w:numPr>
        <w:tabs>
          <w:tab w:val="right" w:pos="8926"/>
        </w:tabs>
        <w:spacing w:after="90" w:line="268"/>
      </w:pPr>
      <w:r>
        <w:t xml:space="preserve">NDA / SLA were not on record for certain partners / service providers.</w:t>
      </w:r>
      <w:r>
        <w:rPr>
          <w:b/>
          <w:bCs/>
        </w:rPr>
        <w:t xml:space="preserve">	(Action)</w:t>
      </w:r>
    </w:p>
    <w:p>
      <w:pPr>
        <w:pStyle w:val="Heading2"/>
        <w:shd w:fill="DCE6F1" w:val="clear"/>
        <w:spacing w:after="100" w:before="180"/>
      </w:pPr>
      <w:r>
        <w:rPr>
          <w:b/>
          <w:bCs/>
          <w:color w:val="1F3864"/>
          <w:sz w:val="21"/>
          <w:szCs w:val="21"/>
        </w:rPr>
        <w:t xml:space="preserve">Data Protection, Localisation and CKYC</w:t>
      </w:r>
    </w:p>
    <w:p>
      <w:pPr>
        <w:pStyle w:val="ListParagraph"/>
        <w:numPr>
          <w:ilvl w:val="0"/>
          <w:numId w:val="2"/>
        </w:numPr>
        <w:tabs>
          <w:tab w:val="right" w:pos="8926"/>
        </w:tabs>
        <w:spacing w:after="90" w:line="268"/>
      </w:pPr>
      <w:r>
        <w:t xml:space="preserve">Although India data residency was maintained, data-access logging and periodic review of access to customer / card data were incomplete.</w:t>
      </w:r>
      <w:r>
        <w:rPr>
          <w:b/>
          <w:bCs/>
        </w:rPr>
        <w:t xml:space="preserve">	(Action)</w:t>
      </w:r>
    </w:p>
    <w:p>
      <w:pPr>
        <w:pStyle w:val="Heading2"/>
        <w:shd w:fill="DCE6F1" w:val="clear"/>
        <w:spacing w:after="100" w:before="180"/>
      </w:pPr>
      <w:r>
        <w:rPr>
          <w:b/>
          <w:bCs/>
          <w:color w:val="1F3864"/>
          <w:sz w:val="21"/>
          <w:szCs w:val="21"/>
        </w:rPr>
        <w:t xml:space="preserve">Network and Secure Configuration</w:t>
      </w:r>
    </w:p>
    <w:p>
      <w:pPr>
        <w:pStyle w:val="ListParagraph"/>
        <w:numPr>
          <w:ilvl w:val="0"/>
          <w:numId w:val="2"/>
        </w:numPr>
        <w:tabs>
          <w:tab w:val="right" w:pos="8926"/>
        </w:tabs>
        <w:spacing w:after="90" w:line="268"/>
      </w:pPr>
      <w:r>
        <w:t xml:space="preserve">Secure Configuration Documents were not defined for certain cloud / network components and periodic configuration review was not performed.</w:t>
      </w:r>
      <w:r>
        <w:rPr>
          <w:b/>
          <w:bCs/>
        </w:rPr>
        <w:t xml:space="preserve">	(Action)</w:t>
      </w:r>
    </w:p>
    <w:p>
      <w:pPr>
        <w:pStyle w:val="Heading2"/>
        <w:shd w:fill="DCE6F1" w:val="clear"/>
        <w:spacing w:after="100" w:before="180"/>
      </w:pPr>
      <w:r>
        <w:rPr>
          <w:b/>
          <w:bCs/>
          <w:color w:val="1F3864"/>
          <w:sz w:val="21"/>
          <w:szCs w:val="21"/>
        </w:rPr>
        <w:t xml:space="preserve">User Access Control / Management</w:t>
      </w:r>
    </w:p>
    <w:p>
      <w:pPr>
        <w:pStyle w:val="ListParagraph"/>
        <w:numPr>
          <w:ilvl w:val="0"/>
          <w:numId w:val="2"/>
        </w:numPr>
        <w:tabs>
          <w:tab w:val="right" w:pos="8926"/>
        </w:tabs>
        <w:spacing w:after="90" w:line="268"/>
      </w:pPr>
      <w:r>
        <w:t xml:space="preserve">Privileged access across cloud, CMS and partner-facing components was not fully governed through PAM with MFA and session recording.</w:t>
      </w:r>
      <w:r>
        <w:rPr>
          <w:b/>
          <w:bCs/>
        </w:rPr>
        <w:t xml:space="preserve">	(Action)</w:t>
      </w:r>
    </w:p>
    <w:p>
      <w:pPr>
        <w:pStyle w:val="Heading2"/>
        <w:shd w:fill="DCE6F1" w:val="clear"/>
        <w:spacing w:after="100" w:before="180"/>
      </w:pPr>
      <w:r>
        <w:rPr>
          <w:b/>
          <w:bCs/>
          <w:color w:val="1F3864"/>
          <w:sz w:val="21"/>
          <w:szCs w:val="21"/>
        </w:rPr>
        <w:t xml:space="preserve">Patch, Vulnerability and Change Management</w:t>
      </w:r>
    </w:p>
    <w:p>
      <w:pPr>
        <w:pStyle w:val="ListParagraph"/>
        <w:numPr>
          <w:ilvl w:val="0"/>
          <w:numId w:val="2"/>
        </w:numPr>
        <w:tabs>
          <w:tab w:val="right" w:pos="8926"/>
        </w:tabs>
        <w:spacing w:after="90" w:line="268"/>
      </w:pPr>
      <w:r>
        <w:t xml:space="preserve">Patching of certain middleware / third-party components was not tracked and VA/PT of new releases was not always completed before go-live.</w:t>
      </w:r>
      <w:r>
        <w:rPr>
          <w:b/>
          <w:bCs/>
        </w:rPr>
        <w:t xml:space="preserve">	(Action)</w:t>
      </w:r>
    </w:p>
    <w:p>
      <w:pPr>
        <w:pStyle w:val="Heading2"/>
        <w:shd w:fill="DCE6F1" w:val="clear"/>
        <w:spacing w:after="100" w:before="180"/>
      </w:pPr>
      <w:r>
        <w:rPr>
          <w:b/>
          <w:bCs/>
          <w:color w:val="1F3864"/>
          <w:sz w:val="21"/>
          <w:szCs w:val="21"/>
        </w:rPr>
        <w:t xml:space="preserve">Security Operations Centre (SOC)</w:t>
      </w:r>
    </w:p>
    <w:p>
      <w:pPr>
        <w:pStyle w:val="ListParagraph"/>
        <w:numPr>
          <w:ilvl w:val="0"/>
          <w:numId w:val="2"/>
        </w:numPr>
        <w:tabs>
          <w:tab w:val="right" w:pos="8926"/>
        </w:tabs>
        <w:spacing w:after="90" w:line="268"/>
      </w:pPr>
      <w:r>
        <w:t xml:space="preserve">SOC log coverage of partner-facing APIs and the CMS was incomplete and TAT for alert closure was not defined.</w:t>
      </w:r>
      <w:r>
        <w:rPr>
          <w:b/>
          <w:bCs/>
        </w:rPr>
        <w:t xml:space="preserve">	(Action)</w:t>
      </w:r>
    </w:p>
    <w:p>
      <w:pPr>
        <w:pStyle w:val="Heading2"/>
        <w:shd w:fill="DCE6F1" w:val="clear"/>
        <w:spacing w:after="100" w:before="180"/>
      </w:pPr>
      <w:r>
        <w:rPr>
          <w:b/>
          <w:bCs/>
          <w:color w:val="1F3864"/>
          <w:sz w:val="21"/>
          <w:szCs w:val="21"/>
        </w:rPr>
        <w:t xml:space="preserve">Business Continuity and Disaster Recovery</w:t>
      </w:r>
    </w:p>
    <w:p>
      <w:pPr>
        <w:pStyle w:val="ListParagraph"/>
        <w:numPr>
          <w:ilvl w:val="0"/>
          <w:numId w:val="2"/>
        </w:numPr>
        <w:tabs>
          <w:tab w:val="right" w:pos="8926"/>
        </w:tabs>
        <w:spacing w:after="90" w:line="268"/>
      </w:pPr>
      <w:r>
        <w:t xml:space="preserve">DR failover for the LMS / CMS had not been validated end-to-end.</w:t>
      </w:r>
      <w:r>
        <w:rPr>
          <w:b/>
          <w:bCs/>
        </w:rPr>
        <w:t xml:space="preserve">	(Action)</w:t>
      </w:r>
    </w:p>
    <w:p>
      <w:r>
        <w:br w:type="page"/>
      </w:r>
    </w:p>
    <w:p>
      <w:pPr>
        <w:pStyle w:val="Heading1"/>
        <w:shd w:fill="1F3864" w:val="clear"/>
        <w:spacing w:after="160" w:before="240"/>
      </w:pPr>
      <w:r>
        <w:rPr>
          <w:b/>
          <w:bCs/>
          <w:color w:val="FFFFFF"/>
          <w:sz w:val="24"/>
          <w:szCs w:val="24"/>
        </w:rPr>
        <w:t xml:space="preserve">Section 4 — Number of Action Points</w:t>
      </w:r>
    </w:p>
    <w:p>
      <w:pPr>
        <w:spacing w:after="120" w:line="276"/>
      </w:pPr>
      <w:r>
        <w:rPr>
          <w:b/>
          <w:bCs/>
        </w:rPr>
        <w:t xml:space="preserve">Number of Total Action Points: </w:t>
      </w:r>
      <w:r>
        <w:rPr>
          <w:b/>
          <w:bCs/>
        </w:rPr>
        <w:t xml:space="preserve">24</w:t>
      </w:r>
    </w:p>
    <w:p>
      <w:pPr>
        <w:pStyle w:val="ListParagraph"/>
        <w:numPr>
          <w:ilvl w:val="0"/>
          <w:numId w:val="2"/>
        </w:numPr>
        <w:spacing w:after="90" w:line="268"/>
      </w:pPr>
      <w:r>
        <w:rPr>
          <w:b/>
          <w:bCs/>
        </w:rPr>
        <w:t xml:space="preserve">Section 3 Observations: </w:t>
      </w:r>
      <w:r>
        <w:t xml:space="preserve">13 Action Points</w:t>
      </w:r>
    </w:p>
    <w:p>
      <w:pPr>
        <w:pStyle w:val="ListParagraph"/>
        <w:numPr>
          <w:ilvl w:val="0"/>
          <w:numId w:val="2"/>
        </w:numPr>
        <w:spacing w:after="90" w:line="268"/>
      </w:pPr>
      <w:r>
        <w:rPr>
          <w:b/>
          <w:bCs/>
        </w:rPr>
        <w:t xml:space="preserve">Annex I — Non-complied previous ITE observations: </w:t>
      </w:r>
      <w:r>
        <w:t xml:space="preserve">3 Action Points</w:t>
      </w:r>
    </w:p>
    <w:p>
      <w:pPr>
        <w:pStyle w:val="ListParagraph"/>
        <w:numPr>
          <w:ilvl w:val="0"/>
          <w:numId w:val="2"/>
        </w:numPr>
        <w:spacing w:after="90" w:line="268"/>
      </w:pPr>
      <w:r>
        <w:rPr>
          <w:b/>
          <w:bCs/>
        </w:rPr>
        <w:t xml:space="preserve">Annex II — Non-compliance to Advisories and Alerts: </w:t>
      </w:r>
      <w:r>
        <w:t xml:space="preserve">5 Action Points</w:t>
      </w:r>
    </w:p>
    <w:p>
      <w:pPr>
        <w:pStyle w:val="ListParagraph"/>
        <w:numPr>
          <w:ilvl w:val="0"/>
          <w:numId w:val="2"/>
        </w:numPr>
        <w:spacing w:after="90" w:line="268"/>
      </w:pPr>
      <w:r>
        <w:rPr>
          <w:b/>
          <w:bCs/>
        </w:rPr>
        <w:t xml:space="preserve">Annex III — Non-compliance to DPSC Circular: </w:t>
      </w:r>
      <w:r>
        <w:t xml:space="preserve">3 Action Points</w:t>
      </w:r>
    </w:p>
    <w:p>
      <w:r>
        <w:br w:type="page"/>
      </w:r>
    </w:p>
    <w:p>
      <w:pPr>
        <w:pStyle w:val="Heading1"/>
        <w:shd w:fill="1F3864" w:val="clear"/>
        <w:spacing w:after="160" w:before="240"/>
      </w:pPr>
      <w:r>
        <w:rPr>
          <w:b/>
          <w:bCs/>
          <w:color w:val="FFFFFF"/>
          <w:sz w:val="24"/>
          <w:szCs w:val="24"/>
        </w:rPr>
        <w:t xml:space="preserve">Section 5 — Other Observations (Non-actionable)</w:t>
      </w:r>
    </w:p>
    <w:p>
      <w:pPr>
        <w:pStyle w:val="ListParagraph"/>
        <w:numPr>
          <w:ilvl w:val="0"/>
          <w:numId w:val="2"/>
        </w:numPr>
        <w:spacing w:after="90" w:line="268"/>
      </w:pPr>
      <w:r>
        <w:t xml:space="preserve">India data residency was maintained for customer / card data.</w:t>
      </w:r>
    </w:p>
    <w:p>
      <w:pPr>
        <w:pStyle w:val="ListParagraph"/>
        <w:numPr>
          <w:ilvl w:val="0"/>
          <w:numId w:val="2"/>
        </w:numPr>
        <w:spacing w:after="90" w:line="268"/>
      </w:pPr>
      <w:r>
        <w:t xml:space="preserve">CI/CD security gating in core engineering was observed to be strong.</w:t>
      </w:r>
    </w:p>
    <w:p>
      <w:pPr>
        <w:pStyle w:val="ListParagraph"/>
        <w:numPr>
          <w:ilvl w:val="0"/>
          <w:numId w:val="2"/>
        </w:numPr>
        <w:spacing w:after="90" w:line="268"/>
      </w:pPr>
      <w:r>
        <w:t xml:space="preserve">Grievance and key-fact-statement disclosures were largely aligned to digital-lending conduct norms.</w:t>
      </w:r>
    </w:p>
    <w:p>
      <w:r>
        <w:br w:type="page"/>
      </w:r>
    </w:p>
    <w:p>
      <w:pPr>
        <w:pStyle w:val="Heading1"/>
        <w:shd w:fill="1F3864" w:val="clear"/>
        <w:spacing w:after="160" w:before="240"/>
      </w:pPr>
      <w:r>
        <w:rPr>
          <w:b/>
          <w:bCs/>
          <w:color w:val="FFFFFF"/>
          <w:sz w:val="24"/>
          <w:szCs w:val="24"/>
        </w:rPr>
        <w:t xml:space="preserve">Annex I — Non-complied / Partially-complied Previous ITE Observations</w:t>
      </w:r>
    </w:p>
    <w:p>
      <w:pPr>
        <w:spacing w:after="120"/>
      </w:pPr>
      <w:r>
        <w:t xml:space="preserve">Details of ‘Not / Partially Complied’ observations from previous IT Examinations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900"/>
        <w:gridCol w:w="1500"/>
        <w:gridCol w:w="760"/>
        <w:gridCol w:w="3046"/>
        <w:gridCol w:w="12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9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Audit</w:t>
            </w:r>
          </w:p>
        </w:tc>
        <w:tc>
          <w:tcPr>
            <w:tcW w:type="dxa" w:w="15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Area</w:t>
            </w:r>
          </w:p>
        </w:tc>
        <w:tc>
          <w:tcPr>
            <w:tcW w:type="dxa" w:w="76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w:t>
            </w:r>
          </w:p>
        </w:tc>
        <w:tc>
          <w:tcPr>
            <w:tcW w:type="dxa" w:w="304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Observation</w:t>
            </w:r>
          </w:p>
        </w:tc>
        <w:tc>
          <w:tcPr>
            <w:tcW w:type="dxa" w:w="12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Remarks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Digital Lending</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LSP / app data access not restricted to need-to-know.</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Card Data</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Tokenisation / PCI-DSS scope gaps.</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9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RBI CSITE ITE 2023</w:t>
            </w:r>
          </w:p>
        </w:tc>
        <w:tc>
          <w:tcPr>
            <w:tcW w:type="dxa" w:w="15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Partner Risk</w:t>
            </w:r>
          </w:p>
        </w:tc>
        <w:tc>
          <w:tcPr>
            <w:tcW w:type="dxa" w:w="76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w:t>
            </w:r>
          </w:p>
        </w:tc>
        <w:tc>
          <w:tcPr>
            <w:tcW w:type="dxa" w:w="304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Partner API due diligence / monitoring incomplete.</w:t>
            </w:r>
          </w:p>
        </w:tc>
        <w:tc>
          <w:tcPr>
            <w:tcW w:type="dxa" w:w="12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bl>
    <w:p>
      <w:r>
        <w:br w:type="page"/>
      </w:r>
    </w:p>
    <w:p>
      <w:pPr>
        <w:pStyle w:val="Heading1"/>
        <w:shd w:fill="1F3864" w:val="clear"/>
        <w:spacing w:after="160" w:before="240"/>
      </w:pPr>
      <w:r>
        <w:rPr>
          <w:b/>
          <w:bCs/>
          <w:color w:val="FFFFFF"/>
          <w:sz w:val="24"/>
          <w:szCs w:val="24"/>
        </w:rPr>
        <w:t xml:space="preserve">Annex II — Non-compliance to Advisories and Alerts</w:t>
      </w:r>
    </w:p>
    <w:p>
      <w:pPr>
        <w:spacing w:after="120"/>
      </w:pPr>
      <w:r>
        <w:t xml:space="preserve">Details of advisories and alerts which were not / partially complied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2300"/>
        <w:gridCol w:w="35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Issued Date</w:t>
            </w:r>
          </w:p>
        </w:tc>
        <w:tc>
          <w:tcPr>
            <w:tcW w:type="dxa" w:w="2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Advisory / Circular</w:t>
            </w:r>
          </w:p>
        </w:tc>
        <w:tc>
          <w:tcPr>
            <w:tcW w:type="dxa" w:w="35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Subject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13-Oct-23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7/2023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Un-authorized fraudulent transactions through Retail Internet Banking application</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08-Jul-24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5/2024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Actors gaining access to IT infrastructure of Payment Service Providers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28-Nov-23</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14/2023</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Malicious Android Applications distributed via SMS / Email (social engineering)</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29-Jun-24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Advisory 9/2024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Ransomware incident — preventive controls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5</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19-Dec-24</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Alert 10/2024</w:t>
            </w:r>
          </w:p>
        </w:tc>
        <w:tc>
          <w:tcPr>
            <w:tcW w:type="dxa" w:w="35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Heightened caution during weekends / extended weekends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bl>
    <w:p>
      <w:r>
        <w:br w:type="page"/>
      </w:r>
    </w:p>
    <w:p>
      <w:pPr>
        <w:pStyle w:val="Heading1"/>
        <w:shd w:fill="1F3864" w:val="clear"/>
        <w:spacing w:after="160" w:before="240"/>
      </w:pPr>
      <w:r>
        <w:rPr>
          <w:b/>
          <w:bCs/>
          <w:color w:val="FFFFFF"/>
          <w:sz w:val="24"/>
          <w:szCs w:val="24"/>
        </w:rPr>
        <w:t xml:space="preserve">Annex III — Non-compliance to DPSC Circular</w:t>
      </w:r>
    </w:p>
    <w:p>
      <w:pPr>
        <w:spacing w:after="120"/>
      </w:pPr>
      <w:r>
        <w:t xml:space="preserve">Details of non / partially complied paras of the Master Direction on Digital Payment Security Controls are listed below.</w:t>
      </w:r>
      <w:r>
        <w:rPr>
          <w:b/>
          <w:bCs/>
        </w:rPr>
        <w:t xml:space="preserve">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1300"/>
        <w:gridCol w:w="5806"/>
        <w:gridCol w:w="1300"/>
      </w:tblGrid>
      <w:tr>
        <w:trPr>
          <w:tblHeader/>
        </w:trPr>
        <w:tc>
          <w:tcPr>
            <w:tcW w:type="dxa" w:w="62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Sr.No</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Para / Section</w:t>
            </w:r>
          </w:p>
        </w:tc>
        <w:tc>
          <w:tcPr>
            <w:tcW w:type="dxa" w:w="5806"/>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Requirement</w:t>
            </w:r>
          </w:p>
        </w:tc>
        <w:tc>
          <w:tcPr>
            <w:tcW w:type="dxa" w:w="1300"/>
            <w:tcBorders>
              <w:top w:val="single" w:color="BFBFBF" w:sz="4"/>
              <w:left w:val="single" w:color="BFBFBF" w:sz="4"/>
              <w:bottom w:val="single" w:color="BFBFBF" w:sz="4"/>
              <w:right w:val="single" w:color="BFBFBF" w:sz="4"/>
            </w:tcBorders>
            <w:shd w:fill="1F3864" w:val="clear"/>
            <w:tcMar>
              <w:top w:type="dxa" w:w="50"/>
              <w:left w:type="dxa" w:w="90"/>
              <w:bottom w:type="dxa" w:w="50"/>
              <w:right w:type="dxa" w:w="90"/>
            </w:tcMar>
            <w:vAlign w:val="center"/>
          </w:tcPr>
          <w:p>
            <w:pPr>
              <w:spacing w:after="0" w:line="248"/>
            </w:pPr>
            <w:r>
              <w:rPr>
                <w:b/>
                <w:bCs/>
                <w:color w:val="FFFFFF"/>
                <w:sz w:val="18"/>
                <w:szCs w:val="18"/>
              </w:rPr>
              <w:t xml:space="preserve">Status</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4</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Board-approved policy for digital payment products covering Functionality, Security and Performance (FSP) aspects; periodic (at least yearly) review.</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Partially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10</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Inventory of all digital payment applications / assets with classification and ownership.</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r>
        <w:tc>
          <w:tcPr>
            <w:tcW w:type="dxa" w:w="62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3</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26</w:t>
            </w:r>
          </w:p>
        </w:tc>
        <w:tc>
          <w:tcPr>
            <w:tcW w:type="dxa" w:w="5806"/>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Process to compare results of successive VA scans to confirm non-recurrence of known vulnerabilities.</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vAlign w:val="center"/>
          </w:tcPr>
          <w:p>
            <w:pPr>
              <w:spacing w:after="0" w:line="248"/>
            </w:pPr>
            <w:r>
              <w:rPr>
                <w:sz w:val="18"/>
                <w:szCs w:val="18"/>
              </w:rPr>
              <w:t xml:space="preserve">Not Complied</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jc w:val="center"/>
    </w:pPr>
    <w:r>
      <w:rPr>
        <w:color w:val="595959"/>
        <w:sz w:val="14"/>
        <w:szCs w:val="14"/>
      </w:rPr>
      <w:t xml:space="preserve">RBI — Department of Supervision — CSITEG  ·  Page </w:t>
    </w:r>
    <w:r>
      <w:rPr>
        <w:color w:val="595959"/>
        <w:sz w:val="14"/>
        <w:szCs w:val="14"/>
      </w:rPr>
      <w:fldChar w:fldCharType="begin"/>
      <w:instrText xml:space="preserve">PAGE</w:instrText>
      <w:fldChar w:fldCharType="separate"/>
      <w:fldChar w:fldCharType="end"/>
    </w:r>
    <w:r>
      <w:rPr>
        <w:color w:val="595959"/>
        <w:sz w:val="14"/>
        <w:szCs w:val="14"/>
      </w:rPr>
      <w:t xml:space="preserve"> of </w:t>
    </w:r>
    <w:r>
      <w:rPr>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595959"/>
        <w:sz w:val="14"/>
        <w:szCs w:val="14"/>
      </w:rPr>
      <w:t xml:space="preserve">CONFIDENTIAL (Fictional)  |  SCL  |  Draft Report on IT Examination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lvl w:ilvl="1" w15:tentative="1">
      <w:start w:val="1"/>
      <w:numFmt w:val="bullet"/>
      <w:lvlText w:val="◦"/>
      <w:lvlJc w:val="left"/>
      <w:pPr>
        <w:ind w:left="9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FFFFFF"/>
      <w:sz w:val="24"/>
      <w:szCs w:val="24"/>
    </w:rPr>
  </w:style>
  <w:style w:type="paragraph" w:styleId="Heading2">
    <w:name w:val="Heading 2"/>
    <w:basedOn w:val="Normal"/>
    <w:next w:val="Normal"/>
    <w:qFormat/>
    <w:pPr>
      <w:spacing w:after="100" w:before="180"/>
      <w:outlineLvl w:val="1"/>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 Examination Report — Saptarishi Capital Limited</dc:title>
  <dc:creator>RBI CSITEG (fictional sample)</dc:creator>
  <cp:lastModifiedBy>Un-named</cp:lastModifiedBy>
  <cp:revision>1</cp:revision>
  <dcterms:created xsi:type="dcterms:W3CDTF">2026-06-16T03:00:57.267Z</dcterms:created>
  <dcterms:modified xsi:type="dcterms:W3CDTF">2026-06-16T03:00:57.267Z</dcterms:modified>
</cp:coreProperties>
</file>

<file path=docProps/custom.xml><?xml version="1.0" encoding="utf-8"?>
<Properties xmlns="http://schemas.openxmlformats.org/officeDocument/2006/custom-properties" xmlns:vt="http://schemas.openxmlformats.org/officeDocument/2006/docPropsVTypes"/>
</file>