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IT Examination 2025 of Suvarna Nagari Co-operative Bank Limited - Cyber Security Augmentation Plan (CSAP)</w:t>
      </w:r>
    </w:p>
    <w:p/>
    <w:p/>
    <w:tbl>
      <w:tblPr>
        <w:tblStyle w:val="TableGrid"/>
        <w:tblW w:type="auto" w:w="0"/>
        <w:jc w:val="center"/>
        <w:tblLook w:firstColumn="1" w:firstRow="1" w:lastColumn="0" w:lastRow="0" w:noHBand="0" w:noVBand="1" w:val="04A0"/>
      </w:tblPr>
      <w:tblGrid>
        <w:gridCol w:w="2880"/>
        <w:gridCol w:w="2880"/>
        <w:gridCol w:w="2880"/>
      </w:tblGrid>
      <w:tr>
        <w:tc>
          <w:tcPr>
            <w:tcW w:type="dxa" w:w="720"/>
          </w:tcPr>
          <w:p>
            <w:r/>
            <w:r>
              <w:rPr>
                <w:b/>
                <w:sz w:val="20"/>
              </w:rPr>
              <w:t>S. No.</w:t>
            </w:r>
          </w:p>
        </w:tc>
        <w:tc>
          <w:tcPr>
            <w:tcW w:type="dxa" w:w="7200"/>
          </w:tcPr>
          <w:p>
            <w:r/>
            <w:r>
              <w:rPr>
                <w:b/>
                <w:sz w:val="20"/>
              </w:rPr>
              <w:t>CSAP Para</w:t>
            </w:r>
          </w:p>
        </w:tc>
        <w:tc>
          <w:tcPr>
            <w:tcW w:type="dxa" w:w="1728"/>
          </w:tcPr>
          <w:p>
            <w:r/>
            <w:r>
              <w:rPr>
                <w:b/>
                <w:sz w:val="20"/>
              </w:rPr>
              <w:t>Timeline for Compliance</w:t>
            </w:r>
          </w:p>
        </w:tc>
      </w:tr>
      <w:tr>
        <w:tc>
          <w:tcPr>
            <w:tcW w:type="dxa" w:w="720"/>
          </w:tcPr>
          <w:p>
            <w:pPr>
              <w:jc w:val="center"/>
            </w:pPr>
            <w:r>
              <w:rPr>
                <w:sz w:val="20"/>
              </w:rPr>
              <w:t>1</w:t>
            </w:r>
          </w:p>
        </w:tc>
        <w:tc>
          <w:tcPr>
            <w:tcW w:type="dxa" w:w="7200"/>
          </w:tcPr>
          <w:p>
            <w:r>
              <w:rPr>
                <w:sz w:val="20"/>
              </w:rPr>
              <w:t>The bank shall review and enhance IT and Information Security Risk Management Framework, keeping in view IT Examination (ITE) observations at 3.1.1 of the report.</w:t>
            </w:r>
          </w:p>
        </w:tc>
        <w:tc>
          <w:tcPr>
            <w:tcW w:type="dxa" w:w="1728"/>
          </w:tcPr>
          <w:p>
            <w:r>
              <w:rPr>
                <w:sz w:val="20"/>
              </w:rPr>
              <w:t>June 30, 2025</w:t>
            </w:r>
          </w:p>
        </w:tc>
      </w:tr>
      <w:tr>
        <w:tc>
          <w:tcPr>
            <w:tcW w:type="dxa" w:w="720"/>
          </w:tcPr>
          <w:p>
            <w:pPr>
              <w:jc w:val="center"/>
            </w:pPr>
            <w:r>
              <w:rPr>
                <w:sz w:val="20"/>
              </w:rPr>
              <w:t>2</w:t>
            </w:r>
          </w:p>
        </w:tc>
        <w:tc>
          <w:tcPr>
            <w:tcW w:type="dxa" w:w="7200"/>
          </w:tcPr>
          <w:p>
            <w:r>
              <w:rPr>
                <w:sz w:val="20"/>
              </w:rPr>
              <w:t>The bank shall implement corrective actions to ensure that remote access to the bank's servers is not permitted over the public internet using unsecured methods, keeping in view IT Examination (ITE) observations at relevant of the report.</w:t>
            </w:r>
          </w:p>
        </w:tc>
        <w:tc>
          <w:tcPr>
            <w:tcW w:type="dxa" w:w="1728"/>
          </w:tcPr>
          <w:p>
            <w:r>
              <w:rPr>
                <w:sz w:val="20"/>
              </w:rPr>
              <w:t>March 31, 2025</w:t>
            </w:r>
          </w:p>
        </w:tc>
      </w:tr>
      <w:tr>
        <w:tc>
          <w:tcPr>
            <w:tcW w:type="dxa" w:w="720"/>
          </w:tcPr>
          <w:p>
            <w:pPr>
              <w:jc w:val="center"/>
            </w:pPr>
            <w:r>
              <w:rPr>
                <w:sz w:val="20"/>
              </w:rPr>
              <w:t>3</w:t>
            </w:r>
          </w:p>
        </w:tc>
        <w:tc>
          <w:tcPr>
            <w:tcW w:type="dxa" w:w="7200"/>
          </w:tcPr>
          <w:p>
            <w:r>
              <w:rPr>
                <w:sz w:val="20"/>
              </w:rPr>
              <w:t>The bank shall implement an Access Control Matrix, along with its risk categorization, in the Identity and Access Management (IDAM) tool to define and maintain access controls for each type of user. Further, the bank shall establish a process to review CBS users and their assigned access level, as also CBS application and database users, keeping in view ITE observations at 3.3.1 of the report.</w:t>
            </w:r>
          </w:p>
        </w:tc>
        <w:tc>
          <w:tcPr>
            <w:tcW w:type="dxa" w:w="1728"/>
          </w:tcPr>
          <w:p>
            <w:r>
              <w:rPr>
                <w:sz w:val="20"/>
              </w:rPr>
              <w:t>June 30, 2025</w:t>
            </w:r>
          </w:p>
        </w:tc>
      </w:tr>
      <w:tr>
        <w:tc>
          <w:tcPr>
            <w:tcW w:type="dxa" w:w="720"/>
          </w:tcPr>
          <w:p>
            <w:pPr>
              <w:jc w:val="center"/>
            </w:pPr>
            <w:r>
              <w:rPr>
                <w:sz w:val="20"/>
              </w:rPr>
              <w:t>4</w:t>
            </w:r>
          </w:p>
        </w:tc>
        <w:tc>
          <w:tcPr>
            <w:tcW w:type="dxa" w:w="7200"/>
          </w:tcPr>
          <w:p>
            <w:r>
              <w:rPr>
                <w:sz w:val="20"/>
              </w:rPr>
              <w:t>The bank shall review and enhance its capacity management and monitoring process for all critical infrastructure components..</w:t>
            </w:r>
          </w:p>
        </w:tc>
        <w:tc>
          <w:tcPr>
            <w:tcW w:type="dxa" w:w="1728"/>
          </w:tcPr>
          <w:p>
            <w:r>
              <w:rPr>
                <w:sz w:val="20"/>
              </w:rPr>
              <w:t>May 31, 2025</w:t>
            </w:r>
          </w:p>
        </w:tc>
      </w:tr>
      <w:tr>
        <w:tc>
          <w:tcPr>
            <w:tcW w:type="dxa" w:w="720"/>
          </w:tcPr>
          <w:p>
            <w:pPr>
              <w:jc w:val="center"/>
            </w:pPr>
            <w:r>
              <w:rPr>
                <w:sz w:val="20"/>
              </w:rPr>
              <w:t>5</w:t>
            </w:r>
          </w:p>
        </w:tc>
        <w:tc>
          <w:tcPr>
            <w:tcW w:type="dxa" w:w="7200"/>
          </w:tcPr>
          <w:p>
            <w:r>
              <w:rPr>
                <w:sz w:val="20"/>
              </w:rPr>
              <w:t>The bank shall integrate application logs of critical applications, as classified by the bank, for SOC monitoring and ensure full operational effectiveness..</w:t>
            </w:r>
          </w:p>
        </w:tc>
        <w:tc>
          <w:tcPr>
            <w:tcW w:type="dxa" w:w="1728"/>
          </w:tcPr>
          <w:p>
            <w:r>
              <w:rPr>
                <w:sz w:val="20"/>
              </w:rPr>
              <w:t>May 31, 2025</w:t>
            </w:r>
          </w:p>
        </w:tc>
      </w:tr>
      <w:tr>
        <w:tc>
          <w:tcPr>
            <w:tcW w:type="dxa" w:w="720"/>
          </w:tcPr>
          <w:p>
            <w:pPr>
              <w:jc w:val="center"/>
            </w:pPr>
            <w:r>
              <w:rPr>
                <w:sz w:val="20"/>
              </w:rPr>
              <w:t>6</w:t>
            </w:r>
          </w:p>
        </w:tc>
        <w:tc>
          <w:tcPr>
            <w:tcW w:type="dxa" w:w="7200"/>
          </w:tcPr>
          <w:p>
            <w:r>
              <w:rPr>
                <w:sz w:val="20"/>
              </w:rPr>
              <w:t>The bank shall monitor audit logs for critical security appliances/systems, like Data Leak Prevention (DLP), proxy web gateway, core firewall, and Intrusion Prevention System (IPS), and ensure time-bound closure of IS audit observations..</w:t>
            </w:r>
          </w:p>
        </w:tc>
        <w:tc>
          <w:tcPr>
            <w:tcW w:type="dxa" w:w="1728"/>
          </w:tcPr>
          <w:p>
            <w:r>
              <w:rPr>
                <w:sz w:val="20"/>
              </w:rPr>
              <w:t>March 31, 2025</w:t>
            </w:r>
          </w:p>
        </w:tc>
      </w:tr>
      <w:tr>
        <w:tc>
          <w:tcPr>
            <w:tcW w:type="dxa" w:w="720"/>
          </w:tcPr>
          <w:p>
            <w:pPr>
              <w:jc w:val="center"/>
            </w:pPr>
            <w:r>
              <w:rPr>
                <w:sz w:val="20"/>
              </w:rPr>
              <w:t>7</w:t>
            </w:r>
          </w:p>
        </w:tc>
        <w:tc>
          <w:tcPr>
            <w:tcW w:type="dxa" w:w="7200"/>
          </w:tcPr>
          <w:p>
            <w:r>
              <w:rPr>
                <w:sz w:val="20"/>
              </w:rPr>
              <w:t>The bank shall review through risk assessment exercise and address the risks of all endpoints on the network not being within the bank's domain and access given to internet in the endpoints in the bank's network by default, keeping in view ITE observations at 3.2.1, 3.2.2, 3.5.1, 3.5.2, 3.6.1 of the report.</w:t>
            </w:r>
          </w:p>
        </w:tc>
        <w:tc>
          <w:tcPr>
            <w:tcW w:type="dxa" w:w="1728"/>
          </w:tcPr>
          <w:p>
            <w:r>
              <w:rPr>
                <w:sz w:val="20"/>
              </w:rPr>
              <w:t>June 30, 2025</w:t>
            </w:r>
          </w:p>
        </w:tc>
      </w:tr>
      <w:tr>
        <w:tc>
          <w:tcPr>
            <w:tcW w:type="dxa" w:w="720"/>
          </w:tcPr>
          <w:p>
            <w:pPr>
              <w:jc w:val="center"/>
            </w:pPr>
            <w:r>
              <w:rPr>
                <w:sz w:val="20"/>
              </w:rPr>
              <w:t>8</w:t>
            </w:r>
          </w:p>
        </w:tc>
        <w:tc>
          <w:tcPr>
            <w:tcW w:type="dxa" w:w="7200"/>
          </w:tcPr>
          <w:p>
            <w:r>
              <w:rPr>
                <w:sz w:val="20"/>
              </w:rPr>
              <w:t>The bank shall conduct a risk assessment and implement preventive and detective controls to prevent users from sharing customer card data (debit cards) or customer data outside the domain via Microsoft OneDrive, MS Teams, and SharePoint..</w:t>
            </w:r>
          </w:p>
        </w:tc>
        <w:tc>
          <w:tcPr>
            <w:tcW w:type="dxa" w:w="1728"/>
          </w:tcPr>
          <w:p>
            <w:r>
              <w:rPr>
                <w:sz w:val="20"/>
              </w:rPr>
              <w:t>April 30, 2025</w:t>
            </w:r>
          </w:p>
        </w:tc>
      </w:tr>
      <w:tr>
        <w:tc>
          <w:tcPr>
            <w:tcW w:type="dxa" w:w="720"/>
          </w:tcPr>
          <w:p>
            <w:pPr>
              <w:jc w:val="center"/>
            </w:pPr>
            <w:r>
              <w:rPr>
                <w:sz w:val="20"/>
              </w:rPr>
              <w:t>9</w:t>
            </w:r>
          </w:p>
        </w:tc>
        <w:tc>
          <w:tcPr>
            <w:tcW w:type="dxa" w:w="7200"/>
          </w:tcPr>
          <w:p>
            <w:r>
              <w:rPr>
                <w:sz w:val="20"/>
              </w:rPr>
              <w:t>The bank shall enable multi-factor authentication (MFA) and audit logging on the API Gateway. Further, the bank shall implement security controls such as distributed denial of service (DDoS) protection and API Rate limiting for both incoming and outgoing APIs, keeping in view ITE observations at 3.4.1 of the report.</w:t>
            </w:r>
          </w:p>
        </w:tc>
        <w:tc>
          <w:tcPr>
            <w:tcW w:type="dxa" w:w="1728"/>
          </w:tcPr>
          <w:p>
            <w:r>
              <w:rPr>
                <w:sz w:val="20"/>
              </w:rPr>
              <w:t>April 30, 2025</w:t>
            </w:r>
          </w:p>
        </w:tc>
      </w:tr>
      <w:tr>
        <w:tc>
          <w:tcPr>
            <w:tcW w:type="dxa" w:w="720"/>
          </w:tcPr>
          <w:p>
            <w:pPr>
              <w:jc w:val="center"/>
            </w:pPr>
            <w:r>
              <w:rPr>
                <w:sz w:val="20"/>
              </w:rPr>
              <w:t>10</w:t>
            </w:r>
          </w:p>
        </w:tc>
        <w:tc>
          <w:tcPr>
            <w:tcW w:type="dxa" w:w="7200"/>
          </w:tcPr>
          <w:p>
            <w:r>
              <w:rPr>
                <w:sz w:val="20"/>
              </w:rPr>
              <w:t>The bank shall close the open/non-complied paras of previous year CSAP and ITE in time bound manner..</w:t>
            </w:r>
          </w:p>
        </w:tc>
        <w:tc>
          <w:tcPr>
            <w:tcW w:type="dxa" w:w="1728"/>
          </w:tcPr>
          <w:p>
            <w:r>
              <w:rPr>
                <w:sz w:val="20"/>
              </w:rPr>
              <w:t>May 31,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