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DI_SCL_3_2_2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Policy for direct borrower-to-NBFC flow controls and disclosures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Controls ensuring direct borrower-to-NBFC flows (without third-party pass-through) and standardised disclosures were not uniformly enforced across apps.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