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DI_SCL_3_2_2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Third-party pass-through audit report with remediation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3.2.2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3.2.2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Controls ensuring direct borrower-to-NBFC flows (without third-party pass-through) and standardised disclosures were not uniformly enforced across apps.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