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DI_SCL_3_2_2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Standardized disclosure template for borrower-facing apps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3.2.2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3.2.2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Controls ensuring direct borrower-to-NBFC flows (without third-party pass-through) and standardised disclosures were not uniformly enforced across apps.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