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Saptarishi Capital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DI_SCL_3_8_1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 or upon regulatory change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establishes </w:t>
      </w:r>
      <w:r>
        <w:rPr>
          <w:b/>
          <w:sz w:val="20"/>
        </w:rPr>
        <w:t>VA/PT schedule template for release validation</w:t>
      </w:r>
      <w:r>
        <w:rPr>
          <w:sz w:val="20"/>
        </w:rPr>
        <w:t xml:space="preserve"> at </w:t>
      </w:r>
      <w:r>
        <w:rPr>
          <w:b/>
          <w:sz w:val="20"/>
        </w:rPr>
        <w:t>Saptarishi Capital Limited</w:t>
      </w:r>
      <w:r>
        <w:rPr>
          <w:sz w:val="20"/>
        </w:rPr>
        <w:t xml:space="preserve">. It defines the control objectives, procedural requirements, and compliance monitoring framework to address the regulatory observation identified under </w:t>
      </w:r>
      <w:r>
        <w:rPr>
          <w:b/>
          <w:sz w:val="20"/>
        </w:rPr>
        <w:t>3.8.1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Regulatory Context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ID:</w:t>
      </w:r>
      <w:r>
        <w:rPr>
          <w:sz w:val="20"/>
        </w:rPr>
        <w:t xml:space="preserve"> 3.8.1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Summary:</w:t>
      </w:r>
      <w:r>
        <w:rPr>
          <w:sz w:val="20"/>
        </w:rPr>
        <w:t xml:space="preserve"> Patching of certain middleware / third-party components was not tracked and VA/PT of new releases was not always completed before go-live.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Regulated Entity:</w:t>
      </w:r>
      <w:r>
        <w:rPr>
          <w:sz w:val="20"/>
        </w:rPr>
        <w:t xml:space="preserve"> Saptarishi Capital Limited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Regulator:</w:t>
      </w:r>
      <w:r>
        <w:rPr>
          <w:sz w:val="20"/>
        </w:rPr>
        <w:t xml:space="preserve"> Reserve Bank of India (RBI)</w:t>
      </w:r>
    </w:p>
    <w:p>
      <w:pPr>
        <w:spacing w:before="200" w:after="80"/>
      </w:pPr>
      <w:r>
        <w:rPr>
          <w:b/>
          <w:color w:val="2C5F8A"/>
          <w:sz w:val="32"/>
        </w:rPr>
        <w:t>3. Applicable Regulatory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Regulation / Guideline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Issued By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IT Governance, Risk, Controls and Assurance Practices Directions,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Security Framework for NBFCs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Master Direction on Outsourcing of IT Services,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 Act, 2000 (as amended)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Govt. of India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 Internal IT &amp; Security Policies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4.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of Directors and IT Strategy Committee of </w:t>
      </w:r>
      <w:r>
        <w:rPr>
          <w:b/>
          <w:sz w:val="20"/>
        </w:rPr>
        <w:t>Saptarishi Capital Limited</w:t>
      </w:r>
      <w:r>
        <w:rPr>
          <w:sz w:val="20"/>
        </w:rPr>
        <w:t xml:space="preserve"> shall ensure: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Policy approval and periodic review (minimum annually)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Resource allocation for implementation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Compliance monitoring through the IT Steering Committee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Escalation of significant deviations to the Board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 xml:space="preserve">1. </w:t>
      </w:r>
      <w:r>
        <w:rPr>
          <w:b/>
          <w:sz w:val="20"/>
        </w:rPr>
        <w:t>Documentation:</w:t>
      </w:r>
      <w:r>
        <w:rPr>
          <w:sz w:val="20"/>
        </w:rPr>
        <w:t xml:space="preserve"> All procedures shall be documented, version-controlled, and accessible to relevant stakeholders.</w:t>
      </w:r>
    </w:p>
    <w:p>
      <w:pPr>
        <w:spacing w:before="20" w:after="20"/>
      </w:pPr>
      <w:r>
        <w:rPr>
          <w:sz w:val="20"/>
        </w:rPr>
        <w:t xml:space="preserve">2. </w:t>
      </w:r>
      <w:r>
        <w:rPr>
          <w:b/>
          <w:sz w:val="20"/>
        </w:rPr>
        <w:t>Implementation:</w:t>
      </w:r>
      <w:r>
        <w:rPr>
          <w:sz w:val="20"/>
        </w:rPr>
        <w:t xml:space="preserve"> Controls shall be operationalized with defined ownership and timelines.</w:t>
      </w:r>
    </w:p>
    <w:p>
      <w:pPr>
        <w:spacing w:before="20" w:after="20"/>
      </w:pPr>
      <w:r>
        <w:rPr>
          <w:sz w:val="20"/>
        </w:rPr>
        <w:t xml:space="preserve">3. </w:t>
      </w:r>
      <w:r>
        <w:rPr>
          <w:b/>
          <w:sz w:val="20"/>
        </w:rPr>
        <w:t>Monitoring:</w:t>
      </w:r>
      <w:r>
        <w:rPr>
          <w:sz w:val="20"/>
        </w:rPr>
        <w:t xml:space="preserve"> Compliance shall be reviewed quarterly with evidence preservation.</w:t>
      </w:r>
    </w:p>
    <w:p>
      <w:pPr>
        <w:spacing w:before="20" w:after="20"/>
      </w:pPr>
      <w:r>
        <w:rPr>
          <w:sz w:val="20"/>
        </w:rPr>
        <w:t xml:space="preserve">4. </w:t>
      </w:r>
      <w:r>
        <w:rPr>
          <w:b/>
          <w:sz w:val="20"/>
        </w:rPr>
        <w:t>Exception Management:</w:t>
      </w:r>
      <w:r>
        <w:rPr>
          <w:sz w:val="20"/>
        </w:rPr>
        <w:t xml:space="preserve"> Deviations shall require documented approval from the CISO with a remediation plan.</w:t>
      </w:r>
    </w:p>
    <w:p>
      <w:pPr>
        <w:spacing w:before="20" w:after="20"/>
      </w:pPr>
      <w:r>
        <w:rPr>
          <w:sz w:val="20"/>
        </w:rPr>
        <w:t xml:space="preserve">5. </w:t>
      </w:r>
      <w:r>
        <w:rPr>
          <w:b/>
          <w:sz w:val="20"/>
        </w:rPr>
        <w:t>Root Cause Analysis:</w:t>
      </w:r>
      <w:r>
        <w:rPr>
          <w:sz w:val="20"/>
        </w:rPr>
        <w:t xml:space="preserve"> Recurring observations shall undergo RCA with preventive action tracking.</w:t>
      </w:r>
    </w:p>
    <w:p>
      <w:pPr>
        <w:spacing w:before="160" w:after="60"/>
      </w:pPr>
      <w:r>
        <w:rPr>
          <w:b/>
          <w:color w:val="3A7CA5"/>
          <w:sz w:val="26"/>
        </w:rPr>
        <w:t>4.3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oversight,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implementation,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 (CTO)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Technical implementation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assurance, compliance validation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â€“ IT Operations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Day-to-day control execution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Compliance &amp; Monitoring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Frequency:</w:t>
      </w:r>
      <w:r>
        <w:rPr>
          <w:sz w:val="20"/>
        </w:rPr>
        <w:t xml:space="preserve"> Quarterly self-assessment, Annual internal audit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Evidence Retention:</w:t>
      </w:r>
      <w:r>
        <w:rPr>
          <w:sz w:val="20"/>
        </w:rPr>
        <w:t xml:space="preserve"> Minimum 5 years from the date of creation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Reporting:</w:t>
      </w:r>
      <w:r>
        <w:rPr>
          <w:sz w:val="20"/>
        </w:rPr>
        <w:t xml:space="preserve"> IT Steering Committee â€“ Quarterly; Board â€“ Bi-annually</w:t>
      </w:r>
    </w:p>
    <w:p>
      <w:pPr>
        <w:spacing w:before="200" w:after="80"/>
      </w:pPr>
      <w:r>
        <w:rPr>
          <w:b/>
          <w:color w:val="2C5F8A"/>
          <w:sz w:val="32"/>
        </w:rPr>
        <w:t>6. Document Control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3.8.1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7. Definitions &amp; Acronyms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Reserve Bank of India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SCL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Saptarishi Capital Limited</w:t>
      </w:r>
      <w:r>
        <w:rPr>
          <w:sz w:val="20"/>
        </w:rPr>
        <w:t xml:space="preserve"> â€”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