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PAM implementation gap analysis with remediation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Privileged access across cloud, CMS and partner-facing components was not fully governed through PAM with MFA and session recording.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