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SOC log coverage gap analysis with remediation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SOC log coverage of partner-facing APIs and the CMS was incomplete and TAT for alert closure was not defined.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