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b/>
          <w:bCs/>
          <w:color w:val="C00000"/>
          <w:sz w:val="26"/>
          <w:szCs w:val="26"/>
        </w:rPr>
        <w:t xml:space="preserve">CONFIDENTIAL</w:t>
      </w:r>
    </w:p>
    <w:p>
      <w:pPr>
        <w:spacing w:after="40"/>
        <w:jc w:val="center"/>
      </w:pPr>
      <w:r>
        <w:rPr>
          <w:b/>
          <w:bCs/>
          <w:color w:val="1F3864"/>
          <w:sz w:val="30"/>
          <w:szCs w:val="30"/>
        </w:rPr>
        <w:t xml:space="preserve">RESERVE BANK OF INDIA</w:t>
      </w:r>
    </w:p>
    <w:p>
      <w:pPr>
        <w:spacing w:after="40"/>
        <w:jc w:val="center"/>
      </w:pPr>
      <w:r>
        <w:rPr>
          <w:b/>
          <w:bCs/>
          <w:color w:val="1F3864"/>
          <w:sz w:val="24"/>
          <w:szCs w:val="24"/>
        </w:rPr>
        <w:t xml:space="preserve">DEPARTMENT OF SUPERVISION</w:t>
      </w:r>
    </w:p>
    <w:p>
      <w:pPr>
        <w:spacing w:after="360"/>
        <w:jc w:val="center"/>
      </w:pPr>
      <w:r>
        <w:rPr>
          <w:b/>
          <w:bCs/>
          <w:color w:val="595959"/>
          <w:sz w:val="22"/>
          <w:szCs w:val="22"/>
        </w:rPr>
        <w:t xml:space="preserve">Cyber Security and IT Examination Group (CSITEG)</w:t>
      </w:r>
    </w:p>
    <w:p>
      <w:pPr>
        <w:spacing w:after="280"/>
        <w:jc w:val="center"/>
      </w:pPr>
      <w:r>
        <w:rPr>
          <w:b/>
          <w:bCs/>
          <w:color w:val="2E5496"/>
          <w:sz w:val="26"/>
          <w:szCs w:val="26"/>
        </w:rPr>
        <w:t xml:space="preserve">Draft Report on IT Examination</w:t>
      </w:r>
    </w:p>
    <w:p>
      <w:pPr>
        <w:spacing w:after="60"/>
        <w:jc w:val="center"/>
      </w:pPr>
      <w:r>
        <w:rPr>
          <w:b/>
          <w:bCs/>
          <w:color w:val="1F3864"/>
          <w:sz w:val="36"/>
          <w:szCs w:val="36"/>
        </w:rPr>
        <w:t xml:space="preserve">Rashtriya Setu Bank Limited</w:t>
      </w:r>
    </w:p>
    <w:p>
      <w:pPr>
        <w:spacing w:after="200"/>
        <w:jc w:val="center"/>
      </w:pPr>
      <w:r>
        <w:rPr>
          <w:b w:val="false"/>
          <w:bCs w:val="false"/>
          <w:i/>
          <w:iCs/>
          <w:color w:val="595959"/>
          <w:sz w:val="20"/>
          <w:szCs w:val="20"/>
        </w:rPr>
        <w:t xml:space="preserve">Public Sector Scheduled Commercial Bank</w:t>
      </w:r>
    </w:p>
    <w:p>
      <w:pPr>
        <w:spacing w:after="60"/>
        <w:jc w:val="center"/>
      </w:pPr>
      <w:r>
        <w:rPr>
          <w:b/>
          <w:bCs/>
          <w:color w:val="262626"/>
          <w:sz w:val="22"/>
          <w:szCs w:val="22"/>
        </w:rPr>
        <w:t xml:space="preserve">January 13 to 24, 2025</w:t>
      </w:r>
    </w:p>
    <w:p>
      <w:pPr>
        <w:spacing w:after="400"/>
        <w:jc w:val="center"/>
      </w:pPr>
      <w:r>
        <w:rPr>
          <w:b w:val="false"/>
          <w:bCs w:val="false"/>
          <w:color w:val="595959"/>
          <w:sz w:val="18"/>
          <w:szCs w:val="18"/>
        </w:rPr>
        <w:t xml:space="preserve">Examination reference: DoS.CO.CSITEG.ITE.SCB.0388/2024-25</w:t>
      </w:r>
    </w:p>
    <w:p>
      <w:pPr>
        <w:pBdr>
          <w:top w:val="single" w:color="C00000" w:sz="6" w:space="6"/>
          <w:bottom w:val="single" w:color="C00000" w:sz="6" w:space="6"/>
        </w:pBdr>
        <w:spacing w:after="40" w:before="300"/>
        <w:jc w:val="center"/>
      </w:pPr>
      <w:r>
        <w:rPr>
          <w:b/>
          <w:bCs/>
          <w:color w:val="C00000"/>
          <w:sz w:val="16"/>
          <w:szCs w:val="16"/>
        </w:rPr>
        <w:t xml:space="preserve">FICTIONAL / ILLUSTRATIVE SAMPLE — NOT A REAL SUPERVISORY DOCUMENT</w:t>
      </w:r>
    </w:p>
    <w:p>
      <w:pPr>
        <w:jc w:val="center"/>
      </w:pPr>
      <w:r>
        <w:rPr>
          <w:i/>
          <w:iCs/>
          <w:color w:val="595959"/>
          <w:sz w:val="15"/>
          <w:szCs w:val="15"/>
        </w:rPr>
        <w:t xml:space="preserve">All entities, persons, systems, vendors, data and findings herein are entirely fictional.</w:t>
      </w:r>
    </w:p>
    <w:p>
      <w:r>
        <w:br w:type="page"/>
      </w:r>
    </w:p>
    <w:p>
      <w:pPr>
        <w:pStyle w:val="Heading1"/>
        <w:shd w:fill="1F3864" w:val="clear"/>
        <w:spacing w:after="160" w:before="240"/>
      </w:pPr>
      <w:r>
        <w:rPr>
          <w:b/>
          <w:bCs/>
          <w:color w:val="FFFFFF"/>
          <w:sz w:val="24"/>
          <w:szCs w:val="24"/>
        </w:rPr>
        <w:t xml:space="preserve">CONTENT</w:t>
      </w:r>
    </w:p>
    <w:sdt>
      <w:sdtPr>
        <w:alias w:val="Content"/>
      </w:sdtPr>
      <w:sdtContent>
        <w:p>
          <w:r>
            <w:fldChar w:fldCharType="begin" w:dirty="true"/>
            <w:instrText xml:space="preserve">TOC \h \o "1-1"</w:instrText>
            <w:fldChar w:fldCharType="separate"/>
          </w:r>
        </w:p>
        <w:p>
          <w:r>
            <w:fldChar w:fldCharType="end"/>
          </w:r>
        </w:p>
      </w:sdtContent>
    </w:sdt>
    <w:p>
      <w:r>
        <w:br w:type="page"/>
      </w:r>
    </w:p>
    <w:p>
      <w:pPr>
        <w:pStyle w:val="Heading1"/>
        <w:shd w:fill="1F3864" w:val="clear"/>
        <w:spacing w:after="160" w:before="240"/>
      </w:pPr>
      <w:r>
        <w:rPr>
          <w:b/>
          <w:bCs/>
          <w:color w:val="FFFFFF"/>
          <w:sz w:val="24"/>
          <w:szCs w:val="24"/>
        </w:rPr>
        <w:t xml:space="preserve">Section 1: Background and Introduction</w:t>
      </w:r>
    </w:p>
    <w:p>
      <w:pPr>
        <w:spacing w:after="120" w:line="276"/>
      </w:pPr>
      <w:r>
        <w:rPr>
          <w:b/>
          <w:bCs/>
        </w:rPr>
        <w:t xml:space="preserve">1.1   </w:t>
      </w:r>
      <w:r>
        <w:t xml:space="preserve">The IT Examination of Rashtriya Setu Bank Limited (Public Sector SCB) was conducted January 13 to 24, 2025. The focus of the examination was to assess the cyber security risk in the entity by examining in detail the cyber security and resilience framework implemented by the entity in terms of the following circulars / directions of the Reserve Bank of India (RBI):</w:t>
      </w:r>
    </w:p>
    <w:p>
      <w:pPr>
        <w:pStyle w:val="ListParagraph"/>
        <w:numPr>
          <w:ilvl w:val="0"/>
          <w:numId w:val="2"/>
        </w:numPr>
        <w:spacing w:after="80" w:line="264"/>
      </w:pPr>
      <w:r>
        <w:t xml:space="preserve">RBI Master Direction DoS.CO.CSITEG/SEC.7/31.01.015/2023-24 on Information Technology Governance, Risk, Controls and Assurance Practices dated November 7, 2023.</w:t>
      </w:r>
    </w:p>
    <w:p>
      <w:pPr>
        <w:pStyle w:val="ListParagraph"/>
        <w:numPr>
          <w:ilvl w:val="0"/>
          <w:numId w:val="2"/>
        </w:numPr>
        <w:spacing w:after="80" w:line="264"/>
      </w:pPr>
      <w:r>
        <w:t xml:space="preserve">RBI Circular DBS.CO/CSITE/BC.11/33.01.001/2015-16 on Cyber Security Framework in Banks dated June 2, 2016.</w:t>
      </w:r>
    </w:p>
    <w:p>
      <w:pPr>
        <w:pStyle w:val="ListParagraph"/>
        <w:numPr>
          <w:ilvl w:val="0"/>
          <w:numId w:val="2"/>
        </w:numPr>
        <w:spacing w:after="80" w:line="264"/>
      </w:pPr>
      <w:r>
        <w:t xml:space="preserve">RBI Master Direction DoS.CO.CSITE.SEC.No.1852/31.01.015/2020-21 on Digital Payment Security Controls dated February 18, 2021.</w:t>
      </w:r>
    </w:p>
    <w:p>
      <w:pPr>
        <w:pStyle w:val="ListParagraph"/>
        <w:numPr>
          <w:ilvl w:val="0"/>
          <w:numId w:val="2"/>
        </w:numPr>
        <w:spacing w:after="80" w:line="264"/>
      </w:pPr>
      <w:r>
        <w:t xml:space="preserve">Master Direction DoS.CO.CSITEG/SEC.1/31.01.015/2023-24 on Outsourcing of Information Technology Services dated April 10, 2023.</w:t>
      </w:r>
    </w:p>
    <w:p>
      <w:pPr>
        <w:pStyle w:val="ListParagraph"/>
        <w:numPr>
          <w:ilvl w:val="0"/>
          <w:numId w:val="2"/>
        </w:numPr>
        <w:spacing w:after="80" w:line="264"/>
      </w:pPr>
      <w:r>
        <w:t xml:space="preserve">RBI Circular DBS.CO/CSITE/BC.4493/31.01.015/2017-18 on operational controls in the SWIFT environment dated February 20, 2018.</w:t>
      </w:r>
    </w:p>
    <w:p>
      <w:pPr>
        <w:spacing w:after="120" w:line="276"/>
      </w:pPr>
      <w:r>
        <w:rPr>
          <w:b/>
          <w:bCs/>
        </w:rPr>
        <w:t xml:space="preserve">1.2   </w:t>
      </w:r>
      <w:r>
        <w:t xml:space="preserve">The approach adopted for the examination included the following:</w:t>
      </w:r>
    </w:p>
    <w:p>
      <w:pPr>
        <w:pStyle w:val="ListParagraph"/>
        <w:numPr>
          <w:ilvl w:val="0"/>
          <w:numId w:val="2"/>
        </w:numPr>
        <w:spacing w:after="90" w:line="268"/>
      </w:pPr>
      <w:r>
        <w:t xml:space="preserve">Meetings with the entity on IT / Information Security (IS) / Cyber Security (CS) organizational structure, measures implemented, enterprise architecture for applications and infrastructure, digital initiatives and cyber security roadmap.</w:t>
      </w:r>
    </w:p>
    <w:p>
      <w:pPr>
        <w:pStyle w:val="ListParagraph"/>
        <w:numPr>
          <w:ilvl w:val="0"/>
          <w:numId w:val="2"/>
        </w:numPr>
        <w:spacing w:after="90" w:line="268"/>
      </w:pPr>
      <w:r>
        <w:t xml:space="preserve">Structured meetings and interactions with Head-IT, select business / technology functions, the Chief Information Security Officer (CISO), IT operations, IT / IS security teams and IS-Audit.</w:t>
      </w:r>
    </w:p>
    <w:p>
      <w:pPr>
        <w:pStyle w:val="ListParagraph"/>
        <w:numPr>
          <w:ilvl w:val="0"/>
          <w:numId w:val="2"/>
        </w:numPr>
        <w:spacing w:after="90" w:line="268"/>
      </w:pPr>
      <w:r>
        <w:t xml:space="preserve">Perusal / review of agenda and minutes of committee meetings, IT / IS audit reports, BCP / DR documentation and VA/PT reports, on a sample basis.</w:t>
      </w:r>
    </w:p>
    <w:p>
      <w:pPr>
        <w:pStyle w:val="ListParagraph"/>
        <w:numPr>
          <w:ilvl w:val="0"/>
          <w:numId w:val="2"/>
        </w:numPr>
        <w:spacing w:after="90" w:line="268"/>
      </w:pPr>
      <w:r>
        <w:t xml:space="preserve">Walkthrough of security solutions, infrastructure and applications, on a sample basis, as demonstrated by the entity.</w:t>
      </w:r>
    </w:p>
    <w:p>
      <w:pPr>
        <w:pStyle w:val="ListParagraph"/>
        <w:numPr>
          <w:ilvl w:val="0"/>
          <w:numId w:val="2"/>
        </w:numPr>
        <w:spacing w:after="90" w:line="268"/>
      </w:pPr>
      <w:r>
        <w:t xml:space="preserve">Response of the entity to specific queries / clarifications elicited.</w:t>
      </w:r>
    </w:p>
    <w:p>
      <w:pPr>
        <w:pStyle w:val="ListParagraph"/>
        <w:numPr>
          <w:ilvl w:val="0"/>
          <w:numId w:val="2"/>
        </w:numPr>
        <w:spacing w:after="90" w:line="268"/>
      </w:pPr>
      <w:r>
        <w:t xml:space="preserve">Compliance testing rather than substantive testing.</w:t>
      </w:r>
    </w:p>
    <w:p>
      <w:pPr>
        <w:pStyle w:val="ListParagraph"/>
        <w:numPr>
          <w:ilvl w:val="0"/>
          <w:numId w:val="2"/>
        </w:numPr>
        <w:spacing w:after="90" w:line="268"/>
      </w:pPr>
      <w:r>
        <w:t xml:space="preserve">Visit to the bank's owned Data Centre and Disaster Recovery site.</w:t>
      </w:r>
    </w:p>
    <w:p>
      <w:pPr>
        <w:spacing w:after="120" w:line="276"/>
      </w:pPr>
      <w:r>
        <w:rPr>
          <w:b/>
          <w:bCs/>
        </w:rPr>
        <w:t xml:space="preserve">1.3   </w:t>
      </w:r>
      <w:r>
        <w:t xml:space="preserve">Cyber security risk assessment is a point-in-time assessment subject to change over a period. Even though observations are made based on sample data / systems, the entity needs to ensure that the issues raised are resolved at a systemic level (holistically) and that necessary systems / controls are in place to ensure sustenance of such compliance.</w:t>
      </w:r>
    </w:p>
    <w:p>
      <w:pPr>
        <w:spacing w:after="120" w:line="276"/>
      </w:pPr>
      <w:r>
        <w:rPr>
          <w:b/>
          <w:bCs/>
        </w:rPr>
        <w:t xml:space="preserve">1.4   </w:t>
      </w:r>
      <w:r>
        <w:t xml:space="preserve">Profile of the 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126"/>
        <w:gridCol w:w="310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 No.</w:t>
            </w:r>
          </w:p>
        </w:tc>
        <w:tc>
          <w:tcPr>
            <w:tcW w:type="dxa" w:w="51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Parameter</w:t>
            </w:r>
          </w:p>
        </w:tc>
        <w:tc>
          <w:tcPr>
            <w:tcW w:type="dxa" w:w="31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As on March 31, 2024</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Asset size of the Supervised Entity (₹ in crore)</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12,40,870.00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Number of branches / ATMs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5,180 / 6,720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Number of retail customers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7,41,20,000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Customers using Internet / Mobile Banking</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1,98,40,000 / 3,12,60,000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Customers using UPI</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2,84,90,000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Volume of SWIFT transactions (CY2024)</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6,80,420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7</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Critical assets identified</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Legacy CBS, SWIFT, Treasury, Govt-business systems, Payment Switch</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8</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Proportion of EOL/S systems (indicative)</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Significant (core + peripheral)</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9</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Cloud services used</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Limited; predominantly on-premise estate</w:t>
            </w:r>
          </w:p>
        </w:tc>
      </w:tr>
    </w:tbl>
    <w:p>
      <w:r>
        <w:br w:type="page"/>
      </w:r>
    </w:p>
    <w:p>
      <w:pPr>
        <w:pStyle w:val="Heading1"/>
        <w:shd w:fill="1F3864" w:val="clear"/>
        <w:spacing w:after="160" w:before="240"/>
      </w:pPr>
      <w:r>
        <w:rPr>
          <w:b/>
          <w:bCs/>
          <w:color w:val="FFFFFF"/>
          <w:sz w:val="24"/>
          <w:szCs w:val="24"/>
        </w:rPr>
        <w:t xml:space="preserve">Section 2: Executive Summary</w:t>
      </w:r>
    </w:p>
    <w:p>
      <w:pPr>
        <w:pStyle w:val="Heading2"/>
        <w:shd w:fill="DCE6F1" w:val="clear"/>
        <w:spacing w:after="100" w:before="180"/>
      </w:pPr>
      <w:r>
        <w:rPr>
          <w:b/>
          <w:bCs/>
          <w:color w:val="1F3864"/>
          <w:sz w:val="21"/>
          <w:szCs w:val="21"/>
        </w:rPr>
        <w:t xml:space="preserve">Information and Cyber Security — Technology Currency</w:t>
      </w:r>
    </w:p>
    <w:p>
      <w:pPr>
        <w:pStyle w:val="ListParagraph"/>
        <w:numPr>
          <w:ilvl w:val="0"/>
          <w:numId w:val="2"/>
        </w:numPr>
        <w:spacing w:after="90" w:line="268"/>
      </w:pPr>
      <w:r>
        <w:t xml:space="preserve">A significant proportion of core and peripheral systems were running on operating systems / databases beyond vendor support, with no time-bound remediation plan.</w:t>
      </w:r>
    </w:p>
    <w:p>
      <w:pPr>
        <w:pStyle w:val="Heading2"/>
        <w:shd w:fill="DCE6F1" w:val="clear"/>
        <w:spacing w:after="100" w:before="180"/>
      </w:pPr>
      <w:r>
        <w:rPr>
          <w:b/>
          <w:bCs/>
          <w:color w:val="1F3864"/>
          <w:sz w:val="21"/>
          <w:szCs w:val="21"/>
        </w:rPr>
        <w:t xml:space="preserve">User Access Control / Privileged Access</w:t>
      </w:r>
    </w:p>
    <w:p>
      <w:pPr>
        <w:pStyle w:val="ListParagraph"/>
        <w:numPr>
          <w:ilvl w:val="0"/>
          <w:numId w:val="2"/>
        </w:numPr>
        <w:spacing w:after="90" w:line="268"/>
      </w:pPr>
      <w:r>
        <w:t xml:space="preserve">Administrative access to the legacy CBS was not routed through a PAM solution and access reviews were infrequent.</w:t>
      </w:r>
    </w:p>
    <w:p>
      <w:pPr>
        <w:pStyle w:val="Heading2"/>
        <w:shd w:fill="DCE6F1" w:val="clear"/>
        <w:spacing w:after="100" w:before="180"/>
      </w:pPr>
      <w:r>
        <w:rPr>
          <w:b/>
          <w:bCs/>
          <w:color w:val="1F3864"/>
          <w:sz w:val="21"/>
          <w:szCs w:val="21"/>
        </w:rPr>
        <w:t xml:space="preserve">SWIFT / Treasury</w:t>
      </w:r>
    </w:p>
    <w:p>
      <w:pPr>
        <w:pStyle w:val="ListParagraph"/>
        <w:numPr>
          <w:ilvl w:val="0"/>
          <w:numId w:val="2"/>
        </w:numPr>
        <w:spacing w:after="90" w:line="268"/>
      </w:pPr>
      <w:r>
        <w:t xml:space="preserve">Segregation and hardening of the SWIFT environment and daily reconciliation of SWIFT messages with the CBS were not fully aligned to the prescribed controls; conflicting roles were assigned across SWIFT, Treasury and CBS.</w:t>
      </w:r>
    </w:p>
    <w:p>
      <w:pPr>
        <w:pStyle w:val="Heading2"/>
        <w:shd w:fill="DCE6F1" w:val="clear"/>
        <w:spacing w:after="100" w:before="180"/>
      </w:pPr>
      <w:r>
        <w:rPr>
          <w:b/>
          <w:bCs/>
          <w:color w:val="1F3864"/>
          <w:sz w:val="21"/>
          <w:szCs w:val="21"/>
        </w:rPr>
        <w:t xml:space="preserve">Outsourcing / Vendor Concentration</w:t>
      </w:r>
    </w:p>
    <w:p>
      <w:pPr>
        <w:pStyle w:val="ListParagraph"/>
        <w:numPr>
          <w:ilvl w:val="0"/>
          <w:numId w:val="2"/>
        </w:numPr>
        <w:spacing w:after="90" w:line="268"/>
      </w:pPr>
      <w:r>
        <w:t xml:space="preserve">Core technology operations were heavily concentrated with a single long-tenure vendor without a tested exit / step-in arrangement.</w:t>
      </w:r>
    </w:p>
    <w:p>
      <w:r>
        <w:br w:type="page"/>
      </w:r>
    </w:p>
    <w:p>
      <w:pPr>
        <w:pStyle w:val="Heading1"/>
        <w:shd w:fill="1F3864" w:val="clear"/>
        <w:spacing w:after="160" w:before="240"/>
      </w:pPr>
      <w:r>
        <w:rPr>
          <w:b/>
          <w:bCs/>
          <w:color w:val="FFFFFF"/>
          <w:sz w:val="24"/>
          <w:szCs w:val="24"/>
        </w:rPr>
        <w:t xml:space="preserve">Section 3: IT Examination Observations and Action Points</w:t>
      </w:r>
    </w:p>
    <w:p>
      <w:pPr>
        <w:pStyle w:val="Heading2"/>
        <w:shd w:fill="DCE6F1" w:val="clear"/>
        <w:spacing w:after="100" w:before="180"/>
      </w:pPr>
      <w:r>
        <w:rPr>
          <w:b/>
          <w:bCs/>
          <w:color w:val="1F3864"/>
          <w:sz w:val="21"/>
          <w:szCs w:val="21"/>
        </w:rPr>
        <w:t xml:space="preserve">Information Technology (IT) and Information Security (IS) Governance</w:t>
      </w:r>
    </w:p>
    <w:p>
      <w:pPr>
        <w:pStyle w:val="ListParagraph"/>
        <w:numPr>
          <w:ilvl w:val="0"/>
          <w:numId w:val="2"/>
        </w:numPr>
        <w:tabs>
          <w:tab w:val="right" w:pos="8926"/>
        </w:tabs>
        <w:spacing w:after="90" w:line="268"/>
      </w:pPr>
      <w:r>
        <w:t xml:space="preserve">Several Board-approved cyber and modernisation initiatives slipped materially against committed timelines; milestone-based tracking with escalation for slippage was absent.</w:t>
      </w:r>
      <w:r>
        <w:rPr>
          <w:b/>
          <w:bCs/>
        </w:rPr>
        <w:t xml:space="preserve">	(Action)</w:t>
      </w:r>
    </w:p>
    <w:p>
      <w:pPr>
        <w:pStyle w:val="Heading2"/>
        <w:shd w:fill="DCE6F1" w:val="clear"/>
        <w:spacing w:after="100" w:before="180"/>
      </w:pPr>
      <w:r>
        <w:rPr>
          <w:b/>
          <w:bCs/>
          <w:color w:val="1F3864"/>
          <w:sz w:val="21"/>
          <w:szCs w:val="21"/>
        </w:rPr>
        <w:t xml:space="preserve">Inventory Management and Technology Currency (EOL/S)</w:t>
      </w:r>
    </w:p>
    <w:p>
      <w:pPr>
        <w:spacing w:after="120" w:line="276"/>
      </w:pPr>
      <w:r>
        <w:t xml:space="preserve">The following gaps were observed, which were in violation of the technology-currency and asset-management provisions of the IT Governance Directions, 2023 and the Cyber Security Framework in Banks dated June 2, 2016:</w:t>
      </w:r>
    </w:p>
    <w:p>
      <w:pPr>
        <w:pStyle w:val="ListParagraph"/>
        <w:numPr>
          <w:ilvl w:val="0"/>
          <w:numId w:val="2"/>
        </w:numPr>
        <w:tabs>
          <w:tab w:val="right" w:pos="8926"/>
        </w:tabs>
        <w:spacing w:after="90" w:line="268"/>
      </w:pPr>
      <w:r>
        <w:t xml:space="preserve">A significant number of End-of-Life / End-of-Support servers and databases were active in the environment without a documented upgrade / replacement plan or interim compensating controls:</w:t>
      </w:r>
      <w:r>
        <w:rPr>
          <w:b/>
          <w:bCs/>
        </w:rPr>
        <w:t xml:space="preserve">	(Action 2.1 to 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No. of Servers / DB</w:t>
            </w:r>
          </w:p>
        </w:tc>
        <w:tc>
          <w:tcPr>
            <w:tcW w:type="dxa" w:w="32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Operating System / Database</w:t>
            </w:r>
          </w:p>
        </w:tc>
        <w:tc>
          <w:tcPr>
            <w:tcW w:type="dxa" w:w="34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End of Support Date</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9</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Windows Server 2003</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July 14, 2015</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41</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Windows Server 2008</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January 14, 2020</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28</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Microsoft SQL Server 2012</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July 12, 2023</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Oracle 11g</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December 31, 2020</w:t>
            </w:r>
          </w:p>
        </w:tc>
      </w:tr>
    </w:tbl>
    <w:p>
      <w:pPr>
        <w:pStyle w:val="ListParagraph"/>
        <w:numPr>
          <w:ilvl w:val="0"/>
          <w:numId w:val="2"/>
        </w:numPr>
        <w:tabs>
          <w:tab w:val="right" w:pos="8926"/>
        </w:tabs>
        <w:spacing w:after="90" w:line="268"/>
      </w:pPr>
      <w:r>
        <w:t xml:space="preserve">The CBS application was not included in the application inventory and multiple decommissioned applications were not removed from the inventory.</w:t>
      </w:r>
      <w:r>
        <w:rPr>
          <w:b/>
          <w:bCs/>
        </w:rPr>
        <w:t xml:space="preserve">	(Action)</w:t>
      </w:r>
    </w:p>
    <w:p>
      <w:pPr>
        <w:pStyle w:val="Heading2"/>
        <w:shd w:fill="DCE6F1" w:val="clear"/>
        <w:spacing w:after="100" w:before="180"/>
      </w:pPr>
      <w:r>
        <w:rPr>
          <w:b/>
          <w:bCs/>
          <w:color w:val="1F3864"/>
          <w:sz w:val="21"/>
          <w:szCs w:val="21"/>
        </w:rPr>
        <w:t xml:space="preserve">Patch, Vulnerability and Change Management</w:t>
      </w:r>
    </w:p>
    <w:p>
      <w:pPr>
        <w:pStyle w:val="ListParagraph"/>
        <w:numPr>
          <w:ilvl w:val="0"/>
          <w:numId w:val="2"/>
        </w:numPr>
        <w:tabs>
          <w:tab w:val="right" w:pos="8926"/>
        </w:tabs>
        <w:spacing w:after="90" w:line="268"/>
      </w:pPr>
      <w:r>
        <w:t xml:space="preserve">Operating-system patches released in earlier years were still missing on multiple servers, breaching the defined patch TAT; a tracker for database patching was not maintained.</w:t>
      </w:r>
      <w:r>
        <w:rPr>
          <w:b/>
          <w:bCs/>
        </w:rPr>
        <w:t xml:space="preserve">	(Action)</w:t>
      </w:r>
    </w:p>
    <w:p>
      <w:pPr>
        <w:pStyle w:val="ListParagraph"/>
        <w:numPr>
          <w:ilvl w:val="0"/>
          <w:numId w:val="2"/>
        </w:numPr>
        <w:tabs>
          <w:tab w:val="right" w:pos="8926"/>
        </w:tabs>
        <w:spacing w:after="90" w:line="268"/>
      </w:pPr>
      <w:r>
        <w:t xml:space="preserve">A centralized change-management function was not established and post-implementation review was not evidenced for a large number of network changes.</w:t>
      </w:r>
      <w:r>
        <w:rPr>
          <w:b/>
          <w:bCs/>
        </w:rPr>
        <w:t xml:space="preserve">	(Action)</w:t>
      </w:r>
    </w:p>
    <w:p>
      <w:pPr>
        <w:pStyle w:val="Heading2"/>
        <w:shd w:fill="DCE6F1" w:val="clear"/>
        <w:spacing w:after="100" w:before="180"/>
      </w:pPr>
      <w:r>
        <w:rPr>
          <w:b/>
          <w:bCs/>
          <w:color w:val="1F3864"/>
          <w:sz w:val="21"/>
          <w:szCs w:val="21"/>
        </w:rPr>
        <w:t xml:space="preserve">User Access Control / Management (incl. PAM)</w:t>
      </w:r>
    </w:p>
    <w:p>
      <w:pPr>
        <w:pStyle w:val="ListParagraph"/>
        <w:numPr>
          <w:ilvl w:val="0"/>
          <w:numId w:val="2"/>
        </w:numPr>
        <w:tabs>
          <w:tab w:val="right" w:pos="8926"/>
        </w:tabs>
        <w:spacing w:after="90" w:line="268"/>
      </w:pPr>
      <w:r>
        <w:t xml:space="preserve">Administrative access to the legacy CBS was not routed through a PAM solution, shared / default administrator accounts were in use, and periodic access recertification was infrequent.</w:t>
      </w:r>
      <w:r>
        <w:rPr>
          <w:b/>
          <w:bCs/>
        </w:rPr>
        <w:t xml:space="preserve">	(Action)</w:t>
      </w:r>
    </w:p>
    <w:p>
      <w:pPr>
        <w:pStyle w:val="Heading2"/>
        <w:shd w:fill="DCE6F1" w:val="clear"/>
        <w:spacing w:after="100" w:before="180"/>
      </w:pPr>
      <w:r>
        <w:rPr>
          <w:b/>
          <w:bCs/>
          <w:color w:val="1F3864"/>
          <w:sz w:val="21"/>
          <w:szCs w:val="21"/>
        </w:rPr>
        <w:t xml:space="preserve">SWIFT / Treasury</w:t>
      </w:r>
    </w:p>
    <w:p>
      <w:pPr>
        <w:spacing w:after="120" w:line="276"/>
      </w:pPr>
      <w:r>
        <w:t xml:space="preserve">The following gaps were observed, which were in violation of the operational controls in the SWIFT environment circular dated February 20, 2018 and the Graded / Cyber Security Framework provisions:</w:t>
      </w:r>
    </w:p>
    <w:p>
      <w:pPr>
        <w:pStyle w:val="ListParagraph"/>
        <w:numPr>
          <w:ilvl w:val="0"/>
          <w:numId w:val="2"/>
        </w:numPr>
        <w:tabs>
          <w:tab w:val="right" w:pos="8926"/>
        </w:tabs>
        <w:spacing w:after="90" w:line="268"/>
      </w:pPr>
      <w:r>
        <w:t xml:space="preserve">Segregation and hardening of the SWIFT environment and daily independent reconciliation of SWIFT messages with the CBS were not fully in place.</w:t>
      </w:r>
      <w:r>
        <w:rPr>
          <w:b/>
          <w:bCs/>
        </w:rPr>
        <w:t xml:space="preserve">	(Action)</w:t>
      </w:r>
    </w:p>
    <w:p>
      <w:pPr>
        <w:pStyle w:val="ListParagraph"/>
        <w:numPr>
          <w:ilvl w:val="0"/>
          <w:numId w:val="2"/>
        </w:numPr>
        <w:tabs>
          <w:tab w:val="right" w:pos="8926"/>
        </w:tabs>
        <w:spacing w:after="90" w:line="268"/>
      </w:pPr>
      <w:r>
        <w:t xml:space="preserve">Users were allocated conflicting roles across SWIFT, Treasury and the CBS in violation of the four-eye principle; maker-checker was not enabled for adding new users to the messaging application.</w:t>
      </w:r>
      <w:r>
        <w:rPr>
          <w:b/>
          <w:bCs/>
        </w:rPr>
        <w:t xml:space="preserve">	(Action)</w:t>
      </w:r>
    </w:p>
    <w:p>
      <w:pPr>
        <w:pStyle w:val="ListParagraph"/>
        <w:numPr>
          <w:ilvl w:val="0"/>
          <w:numId w:val="2"/>
        </w:numPr>
        <w:tabs>
          <w:tab w:val="right" w:pos="8926"/>
        </w:tabs>
        <w:spacing w:after="90" w:line="268"/>
      </w:pPr>
      <w:r>
        <w:t xml:space="preserve">Adequate time / holiday restrictions for processing SWIFT messages were not configured at the application level.</w:t>
      </w:r>
      <w:r>
        <w:rPr>
          <w:b/>
          <w:bCs/>
        </w:rPr>
        <w:t xml:space="preserve">	(Action)</w:t>
      </w:r>
    </w:p>
    <w:p>
      <w:pPr>
        <w:pStyle w:val="Heading2"/>
        <w:shd w:fill="DCE6F1" w:val="clear"/>
        <w:spacing w:after="100" w:before="180"/>
      </w:pPr>
      <w:r>
        <w:rPr>
          <w:b/>
          <w:bCs/>
          <w:color w:val="1F3864"/>
          <w:sz w:val="21"/>
          <w:szCs w:val="21"/>
        </w:rPr>
        <w:t xml:space="preserve">Network Management and Security</w:t>
      </w:r>
    </w:p>
    <w:p>
      <w:pPr>
        <w:pStyle w:val="ListParagraph"/>
        <w:numPr>
          <w:ilvl w:val="0"/>
          <w:numId w:val="2"/>
        </w:numPr>
        <w:tabs>
          <w:tab w:val="right" w:pos="8926"/>
        </w:tabs>
        <w:spacing w:after="90" w:line="268"/>
      </w:pPr>
      <w:r>
        <w:t xml:space="preserve">Network segmentation between corporate, payment and SWIFT environments was incomplete and firewall rule review was ineffective (rules with destination ‘ANY’, insecure ports).</w:t>
      </w:r>
      <w:r>
        <w:rPr>
          <w:b/>
          <w:bCs/>
        </w:rPr>
        <w:t xml:space="preserve">	(Action)</w:t>
      </w:r>
    </w:p>
    <w:p>
      <w:pPr>
        <w:pStyle w:val="Heading2"/>
        <w:shd w:fill="DCE6F1" w:val="clear"/>
        <w:spacing w:after="100" w:before="180"/>
      </w:pPr>
      <w:r>
        <w:rPr>
          <w:b/>
          <w:bCs/>
          <w:color w:val="1F3864"/>
          <w:sz w:val="21"/>
          <w:szCs w:val="21"/>
        </w:rPr>
        <w:t xml:space="preserve">Security Operations Centre (SOC)</w:t>
      </w:r>
    </w:p>
    <w:p>
      <w:pPr>
        <w:pStyle w:val="ListParagraph"/>
        <w:numPr>
          <w:ilvl w:val="0"/>
          <w:numId w:val="2"/>
        </w:numPr>
        <w:tabs>
          <w:tab w:val="right" w:pos="8926"/>
        </w:tabs>
        <w:spacing w:after="90" w:line="268"/>
      </w:pPr>
      <w:r>
        <w:t xml:space="preserve">The outsourced SOC had not onboarded all critical applications and CBS privileged-user logs; closure timelines for SOC incidents were not defined.</w:t>
      </w:r>
      <w:r>
        <w:rPr>
          <w:b/>
          <w:bCs/>
        </w:rPr>
        <w:t xml:space="preserve">	(Action)</w:t>
      </w:r>
    </w:p>
    <w:p>
      <w:pPr>
        <w:pStyle w:val="Heading2"/>
        <w:shd w:fill="DCE6F1" w:val="clear"/>
        <w:spacing w:after="100" w:before="180"/>
      </w:pPr>
      <w:r>
        <w:rPr>
          <w:b/>
          <w:bCs/>
          <w:color w:val="1F3864"/>
          <w:sz w:val="21"/>
          <w:szCs w:val="21"/>
        </w:rPr>
        <w:t xml:space="preserve">Vendor Risk Management / Outsourcing</w:t>
      </w:r>
    </w:p>
    <w:p>
      <w:pPr>
        <w:spacing w:after="120" w:line="276"/>
      </w:pPr>
      <w:r>
        <w:t xml:space="preserve">The following gaps were observed, which were in violation of the Master Direction on Outsourcing of IT Services dated April 10, 2023:</w:t>
      </w:r>
    </w:p>
    <w:p>
      <w:pPr>
        <w:pStyle w:val="ListParagraph"/>
        <w:numPr>
          <w:ilvl w:val="0"/>
          <w:numId w:val="2"/>
        </w:numPr>
        <w:tabs>
          <w:tab w:val="right" w:pos="8926"/>
        </w:tabs>
        <w:spacing w:after="90" w:line="268"/>
      </w:pPr>
      <w:r>
        <w:t xml:space="preserve">Core technology operations were heavily concentrated with a single long-tenure vendor without a documented, tested exit / step-in arrangement.</w:t>
      </w:r>
      <w:r>
        <w:rPr>
          <w:b/>
          <w:bCs/>
        </w:rPr>
        <w:t xml:space="preserve">	(Action)</w:t>
      </w:r>
    </w:p>
    <w:p>
      <w:pPr>
        <w:pStyle w:val="Heading2"/>
        <w:shd w:fill="DCE6F1" w:val="clear"/>
        <w:spacing w:after="100" w:before="180"/>
      </w:pPr>
      <w:r>
        <w:rPr>
          <w:b/>
          <w:bCs/>
          <w:color w:val="1F3864"/>
          <w:sz w:val="21"/>
          <w:szCs w:val="21"/>
        </w:rPr>
        <w:t xml:space="preserve">Business Continuity and Disaster Recovery</w:t>
      </w:r>
    </w:p>
    <w:p>
      <w:pPr>
        <w:pStyle w:val="ListParagraph"/>
        <w:numPr>
          <w:ilvl w:val="0"/>
          <w:numId w:val="2"/>
        </w:numPr>
        <w:tabs>
          <w:tab w:val="right" w:pos="8926"/>
        </w:tabs>
        <w:spacing w:after="90" w:line="268"/>
      </w:pPr>
      <w:r>
        <w:t xml:space="preserve">DR drills did not cover all critical applications and switchover for certain government-business systems was untested.</w:t>
      </w:r>
      <w:r>
        <w:rPr>
          <w:b/>
          <w:bCs/>
        </w:rPr>
        <w:t xml:space="preserve">	(Action)</w:t>
      </w:r>
    </w:p>
    <w:p>
      <w:pPr>
        <w:pStyle w:val="Heading2"/>
        <w:shd w:fill="DCE6F1" w:val="clear"/>
        <w:spacing w:after="100" w:before="180"/>
      </w:pPr>
      <w:r>
        <w:rPr>
          <w:b/>
          <w:bCs/>
          <w:color w:val="1F3864"/>
          <w:sz w:val="21"/>
          <w:szCs w:val="21"/>
        </w:rPr>
        <w:t xml:space="preserve">Digital Payment Security Controls</w:t>
      </w:r>
    </w:p>
    <w:p>
      <w:pPr>
        <w:pStyle w:val="ListParagraph"/>
        <w:numPr>
          <w:ilvl w:val="0"/>
          <w:numId w:val="2"/>
        </w:numPr>
        <w:tabs>
          <w:tab w:val="right" w:pos="8926"/>
        </w:tabs>
        <w:spacing w:after="90" w:line="268"/>
      </w:pPr>
      <w:r>
        <w:t xml:space="preserve">Adaptive / risk-based authentication and real-time fraud monitoring on digital channels lagged the bank's transaction volumes, which was non-adherence to the authentication / fraud-risk provisions of the DPSC Master Direction.</w:t>
      </w:r>
      <w:r>
        <w:rPr>
          <w:b/>
          <w:bCs/>
        </w:rPr>
        <w:t xml:space="preserve">	(Action)</w:t>
      </w:r>
    </w:p>
    <w:p>
      <w:r>
        <w:br w:type="page"/>
      </w:r>
    </w:p>
    <w:p>
      <w:pPr>
        <w:pStyle w:val="Heading1"/>
        <w:shd w:fill="1F3864" w:val="clear"/>
        <w:spacing w:after="160" w:before="240"/>
      </w:pPr>
      <w:r>
        <w:rPr>
          <w:b/>
          <w:bCs/>
          <w:color w:val="FFFFFF"/>
          <w:sz w:val="24"/>
          <w:szCs w:val="24"/>
        </w:rPr>
        <w:t xml:space="preserve">Section 4 — Number of Action Points</w:t>
      </w:r>
    </w:p>
    <w:p>
      <w:pPr>
        <w:spacing w:after="120" w:line="276"/>
      </w:pPr>
      <w:r>
        <w:rPr>
          <w:b/>
          <w:bCs/>
        </w:rPr>
        <w:t xml:space="preserve">Number of Total Action Points: </w:t>
      </w:r>
      <w:r>
        <w:rPr>
          <w:b/>
          <w:bCs/>
        </w:rPr>
        <w:t xml:space="preserve">33</w:t>
      </w:r>
    </w:p>
    <w:p>
      <w:pPr>
        <w:pStyle w:val="ListParagraph"/>
        <w:numPr>
          <w:ilvl w:val="0"/>
          <w:numId w:val="2"/>
        </w:numPr>
        <w:spacing w:after="90" w:line="268"/>
      </w:pPr>
      <w:r>
        <w:rPr>
          <w:b/>
          <w:bCs/>
        </w:rPr>
        <w:t xml:space="preserve">Section 3 Observations: </w:t>
      </w:r>
      <w:r>
        <w:t xml:space="preserve">14 Action Points</w:t>
      </w:r>
    </w:p>
    <w:p>
      <w:pPr>
        <w:pStyle w:val="ListParagraph"/>
        <w:numPr>
          <w:ilvl w:val="0"/>
          <w:numId w:val="2"/>
        </w:numPr>
        <w:spacing w:after="90" w:line="268"/>
      </w:pPr>
      <w:r>
        <w:rPr>
          <w:b/>
          <w:bCs/>
        </w:rPr>
        <w:t xml:space="preserve">Annex I — Non-complied previous ITE observations: </w:t>
      </w:r>
      <w:r>
        <w:t xml:space="preserve">6 Action Points</w:t>
      </w:r>
    </w:p>
    <w:p>
      <w:pPr>
        <w:pStyle w:val="ListParagraph"/>
        <w:numPr>
          <w:ilvl w:val="0"/>
          <w:numId w:val="2"/>
        </w:numPr>
        <w:spacing w:after="90" w:line="268"/>
      </w:pPr>
      <w:r>
        <w:rPr>
          <w:b/>
          <w:bCs/>
        </w:rPr>
        <w:t xml:space="preserve">Annex II — Non-compliance to Advisories and Alerts: </w:t>
      </w:r>
      <w:r>
        <w:t xml:space="preserve">9 Action Points</w:t>
      </w:r>
    </w:p>
    <w:p>
      <w:pPr>
        <w:pStyle w:val="ListParagraph"/>
        <w:numPr>
          <w:ilvl w:val="0"/>
          <w:numId w:val="2"/>
        </w:numPr>
        <w:spacing w:after="90" w:line="268"/>
      </w:pPr>
      <w:r>
        <w:rPr>
          <w:b/>
          <w:bCs/>
        </w:rPr>
        <w:t xml:space="preserve">Annex III — Non-compliance to DPSC Circular: </w:t>
      </w:r>
      <w:r>
        <w:t xml:space="preserve">4 Action Points</w:t>
      </w:r>
    </w:p>
    <w:p>
      <w:r>
        <w:br w:type="page"/>
      </w:r>
    </w:p>
    <w:p>
      <w:pPr>
        <w:pStyle w:val="Heading1"/>
        <w:shd w:fill="1F3864" w:val="clear"/>
        <w:spacing w:after="160" w:before="240"/>
      </w:pPr>
      <w:r>
        <w:rPr>
          <w:b/>
          <w:bCs/>
          <w:color w:val="FFFFFF"/>
          <w:sz w:val="24"/>
          <w:szCs w:val="24"/>
        </w:rPr>
        <w:t xml:space="preserve">Section 5 — Other Observations (Non-actionable)</w:t>
      </w:r>
    </w:p>
    <w:p>
      <w:pPr>
        <w:pStyle w:val="ListParagraph"/>
        <w:numPr>
          <w:ilvl w:val="0"/>
          <w:numId w:val="2"/>
        </w:numPr>
        <w:spacing w:after="90" w:line="268"/>
      </w:pPr>
      <w:r>
        <w:t xml:space="preserve">Treasury deals were posted to the CBS via middleware rather than a native interface, limiting capture in CBS application logs.</w:t>
      </w:r>
    </w:p>
    <w:p>
      <w:pPr>
        <w:pStyle w:val="ListParagraph"/>
        <w:numPr>
          <w:ilvl w:val="0"/>
          <w:numId w:val="2"/>
        </w:numPr>
        <w:spacing w:after="90" w:line="268"/>
      </w:pPr>
      <w:r>
        <w:t xml:space="preserve">Several SOC incident tickets were open beyond a reasonable period without defined closure timelines.</w:t>
      </w:r>
    </w:p>
    <w:p>
      <w:pPr>
        <w:pStyle w:val="ListParagraph"/>
        <w:numPr>
          <w:ilvl w:val="0"/>
          <w:numId w:val="2"/>
        </w:numPr>
        <w:spacing w:after="90" w:line="268"/>
      </w:pPr>
      <w:r>
        <w:t xml:space="preserve">Physical and environmental controls at the Data Centre were observed to be adequate.</w:t>
      </w:r>
    </w:p>
    <w:p>
      <w:r>
        <w:br w:type="page"/>
      </w:r>
    </w:p>
    <w:p>
      <w:pPr>
        <w:pStyle w:val="Heading1"/>
        <w:shd w:fill="1F3864" w:val="clear"/>
        <w:spacing w:after="160" w:before="240"/>
      </w:pPr>
      <w:r>
        <w:rPr>
          <w:b/>
          <w:bCs/>
          <w:color w:val="FFFFFF"/>
          <w:sz w:val="24"/>
          <w:szCs w:val="24"/>
        </w:rPr>
        <w:t xml:space="preserve">Annex I — Non-complied / Partially-complied Previous ITE Observations</w:t>
      </w:r>
    </w:p>
    <w:p>
      <w:pPr>
        <w:spacing w:after="120"/>
      </w:pPr>
      <w:r>
        <w:t xml:space="preserve">Details of ‘Not / Partially Complied’ observations from previous IT Examinations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1500"/>
        <w:gridCol w:w="760"/>
        <w:gridCol w:w="3046"/>
        <w:gridCol w:w="12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9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Audit</w:t>
            </w:r>
          </w:p>
        </w:tc>
        <w:tc>
          <w:tcPr>
            <w:tcW w:type="dxa" w:w="15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Area</w:t>
            </w:r>
          </w:p>
        </w:tc>
        <w:tc>
          <w:tcPr>
            <w:tcW w:type="dxa" w:w="76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w:t>
            </w:r>
          </w:p>
        </w:tc>
        <w:tc>
          <w:tcPr>
            <w:tcW w:type="dxa" w:w="304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Observation</w:t>
            </w:r>
          </w:p>
        </w:tc>
        <w:tc>
          <w:tcPr>
            <w:tcW w:type="dxa" w:w="12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Remarks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Patch / Vulnerability</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31</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Out-of-support OS on servers (Windows 2003 / 2008 / 2012).</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User Access (PAM)</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CBS administrative access not under PAM.</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C-SOC</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50</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Critical applications not integrated with SIEM.</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Outsourcing</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Vendor exit arrangement not tested.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2018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Secure Configuration</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67.26</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 periodic secure-configuration review on routers.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2018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SOC</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67.19</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Only firewalls integrated in SIEM.</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bl>
    <w:p>
      <w:r>
        <w:br w:type="page"/>
      </w:r>
    </w:p>
    <w:p>
      <w:pPr>
        <w:pStyle w:val="Heading1"/>
        <w:shd w:fill="1F3864" w:val="clear"/>
        <w:spacing w:after="160" w:before="240"/>
      </w:pPr>
      <w:r>
        <w:rPr>
          <w:b/>
          <w:bCs/>
          <w:color w:val="FFFFFF"/>
          <w:sz w:val="24"/>
          <w:szCs w:val="24"/>
        </w:rPr>
        <w:t xml:space="preserve">Annex II — Non-compliance to Advisories and Alerts</w:t>
      </w:r>
    </w:p>
    <w:p>
      <w:pPr>
        <w:spacing w:after="120"/>
      </w:pPr>
      <w:r>
        <w:t xml:space="preserve">Details of advisories and alerts which were not / partially complied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00"/>
        <w:gridCol w:w="2300"/>
        <w:gridCol w:w="3506"/>
        <w:gridCol w:w="13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Issued Date</w:t>
            </w:r>
          </w:p>
        </w:tc>
        <w:tc>
          <w:tcPr>
            <w:tcW w:type="dxa" w:w="2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Advisory / Circular</w:t>
            </w:r>
          </w:p>
        </w:tc>
        <w:tc>
          <w:tcPr>
            <w:tcW w:type="dxa" w:w="350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Subject</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Status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28-Aug-23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1/2023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Securing the ecosystem connecting the bank's ATM switch to Card Networks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28-Aug-23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1/2023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Securing the ecosystem connecting the bank's ATM switch to Card Networks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19-Jun-24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5/2024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Strengthening Controls on the Payment System Infrastructure and General Control Measures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18-Jun-24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5/2024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DDoS Attack on Critical Servers of Banking / Financial Sector Organisations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08-Jul-24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Alert 5/2024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Malicious Actors gaining access to IT infrastructure of Payment Service Providers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29-Jun-24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9/2024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Ransomware incident — preventive controls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22-Nov-23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8/2023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Additional Layer of Security for Internet Banking and Public Facing Websites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13-Oct-23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7/2023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Un-authorized fraudulent transactions through Retail Internet Banking application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19-Dec-24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Alert 10/2024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Heightened caution during weekends / extended weekends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bl>
    <w:p>
      <w:r>
        <w:br w:type="page"/>
      </w:r>
    </w:p>
    <w:p>
      <w:pPr>
        <w:pStyle w:val="Heading1"/>
        <w:shd w:fill="1F3864" w:val="clear"/>
        <w:spacing w:after="160" w:before="240"/>
      </w:pPr>
      <w:r>
        <w:rPr>
          <w:b/>
          <w:bCs/>
          <w:color w:val="FFFFFF"/>
          <w:sz w:val="24"/>
          <w:szCs w:val="24"/>
        </w:rPr>
        <w:t xml:space="preserve">Annex III — Non-compliance to DPSC Circular</w:t>
      </w:r>
    </w:p>
    <w:p>
      <w:pPr>
        <w:spacing w:after="120"/>
      </w:pPr>
      <w:r>
        <w:t xml:space="preserve">Details of non / partially complied paras of the Master Direction on Digital Payment Security Controls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00"/>
        <w:gridCol w:w="5806"/>
        <w:gridCol w:w="13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 / Section</w:t>
            </w:r>
          </w:p>
        </w:tc>
        <w:tc>
          <w:tcPr>
            <w:tcW w:type="dxa" w:w="580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Requirement</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Status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Governance / risk-management processes to identify, analyse, monitor and manage risks (including compliance risk) of digital payment products on a continual basis.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40</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Multi-factor / risk-based authentication and adaptive controls for digital payment channels.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26</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Process to compare results of successive VA scans to confirm non-recurrence of known vulnerabilities.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10</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Inventory of all digital payment applications / assets with classification and ownership.</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jc w:val="center"/>
    </w:pPr>
    <w:r>
      <w:rPr>
        <w:color w:val="595959"/>
        <w:sz w:val="14"/>
        <w:szCs w:val="14"/>
      </w:rPr>
      <w:t xml:space="preserve">RBI — Department of Supervision — CSITEG  ·  Page </w:t>
    </w:r>
    <w:r>
      <w:rPr>
        <w:color w:val="595959"/>
        <w:sz w:val="14"/>
        <w:szCs w:val="14"/>
      </w:rPr>
      <w:fldChar w:fldCharType="begin"/>
      <w:instrText xml:space="preserve">PAGE</w:instrText>
      <w:fldChar w:fldCharType="separate"/>
      <w:fldChar w:fldCharType="end"/>
    </w:r>
    <w:r>
      <w:rPr>
        <w:color w:val="595959"/>
        <w:sz w:val="14"/>
        <w:szCs w:val="14"/>
      </w:rPr>
      <w:t xml:space="preserve"> of </w:t>
    </w:r>
    <w:r>
      <w:rPr>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595959"/>
        <w:sz w:val="14"/>
        <w:szCs w:val="14"/>
      </w:rPr>
      <w:t xml:space="preserve">CONFIDENTIAL (Fictional)  |  RSBL  |  Draft Report on IT Examination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FFFFFF"/>
      <w:sz w:val="24"/>
      <w:szCs w:val="24"/>
    </w:rPr>
  </w:style>
  <w:style w:type="paragraph" w:styleId="Heading2">
    <w:name w:val="Heading 2"/>
    <w:basedOn w:val="Normal"/>
    <w:next w:val="Normal"/>
    <w:qFormat/>
    <w:pPr>
      <w:spacing w:after="100" w:before="180"/>
      <w:outlineLvl w:val="1"/>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Examination Report — Rashtriya Setu Bank Limited</dc:title>
  <dc:creator>RBI CSITEG (fictional sample)</dc:creator>
  <cp:lastModifiedBy>Un-named</cp:lastModifiedBy>
  <cp:revision>1</cp:revision>
  <dcterms:created xsi:type="dcterms:W3CDTF">2026-06-16T03:00:56.732Z</dcterms:created>
  <dcterms:modified xsi:type="dcterms:W3CDTF">2026-06-16T03:00:56.732Z</dcterms:modified>
</cp:coreProperties>
</file>

<file path=docProps/custom.xml><?xml version="1.0" encoding="utf-8"?>
<Properties xmlns="http://schemas.openxmlformats.org/officeDocument/2006/custom-properties" xmlns:vt="http://schemas.openxmlformats.org/officeDocument/2006/docPropsVTypes"/>
</file>