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Compensating controls register for active EOL/EOS systems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significant number of End-of-Life / End-of-Support servers and databases were active in the environment without a documented upgrade / replacement plan or interim compensating controls: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