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Upgrade/replacement roadmap with timelines for EOL/EOS remediation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significant number of End-of-Life / End-of-Support servers and databases were active in the environment without a documented upgrade / replacement plan or interim compensating controls: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