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policy for legacy CBS administrative access and shared account elimination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Administrative access to the legacy CBS was not routed through a PAM solution, shared / default administrator accounts were in use, and periodic access recertification was infrequent.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