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Rashtriya Setu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DI_RSBL_3_4_1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PAM integration report for CBS access routing at </w:t>
      </w:r>
      <w:r>
        <w:rPr>
          <w:b/>
          <w:sz w:val="20"/>
        </w:rPr>
        <w:t>Rashtriya Setu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3.4.1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3.4.1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Administrative access to the legacy CBS was not routed through a PAM solution, shared / default administrator accounts were in use, and periodic access recertification was infrequent.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Rashtriya Setu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Relevant RBI Master Directions and Circulars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Rashtriya Setu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Rashtriya Setu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 and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3.4.1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Rashtriya Setu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