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DI_RSBL_3_6_1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Firewall rule effectiveness review report with remediation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3.6.1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3.6.1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Network segmentation between corporate, payment and SWIFT environments was incomplete and firewall rule review was ineffective (rules with destination ‘ANY’, insecure ports).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3.6.1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