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DI_RSBL_3_5_2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Four-eye principle compliance audit report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Users were allocated conflicting roles across SWIFT, Treasury and the CBS in violation of the four-eye principle; maker-checker was not enabled for adding new users to the messaging application.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