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DPSC Master Direction compliance gap assessment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Adaptive / risk-based authentication and real-time fraud monitoring on digital channels lagged the bank's transaction volumes, which was non-adherence to the authentication / fraud-risk provisions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