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b/>
          <w:bCs/>
          <w:color w:val="C00000"/>
          <w:sz w:val="26"/>
          <w:szCs w:val="26"/>
        </w:rPr>
        <w:t xml:space="preserve">CONFIDENTIAL</w:t>
      </w:r>
    </w:p>
    <w:p>
      <w:pPr>
        <w:spacing w:after="40"/>
        <w:jc w:val="center"/>
      </w:pPr>
      <w:r>
        <w:rPr>
          <w:b/>
          <w:bCs/>
          <w:color w:val="1F3864"/>
          <w:sz w:val="30"/>
          <w:szCs w:val="30"/>
        </w:rPr>
        <w:t xml:space="preserve">RESERVE BANK OF INDIA</w:t>
      </w:r>
    </w:p>
    <w:p>
      <w:pPr>
        <w:spacing w:after="40"/>
        <w:jc w:val="center"/>
      </w:pPr>
      <w:r>
        <w:rPr>
          <w:b/>
          <w:bCs/>
          <w:color w:val="1F3864"/>
          <w:sz w:val="24"/>
          <w:szCs w:val="24"/>
        </w:rPr>
        <w:t xml:space="preserve">DEPARTMENT OF SUPERVISION</w:t>
      </w:r>
    </w:p>
    <w:p>
      <w:pPr>
        <w:spacing w:after="360"/>
        <w:jc w:val="center"/>
      </w:pPr>
      <w:r>
        <w:rPr>
          <w:b/>
          <w:bCs/>
          <w:color w:val="595959"/>
          <w:sz w:val="22"/>
          <w:szCs w:val="22"/>
        </w:rPr>
        <w:t xml:space="preserve">Cyber Security and IT Examination Group (CSITEG)</w:t>
      </w:r>
    </w:p>
    <w:p>
      <w:pPr>
        <w:spacing w:after="280"/>
        <w:jc w:val="center"/>
      </w:pPr>
      <w:r>
        <w:rPr>
          <w:b/>
          <w:bCs/>
          <w:color w:val="2E5496"/>
          <w:sz w:val="26"/>
          <w:szCs w:val="26"/>
        </w:rPr>
        <w:t xml:space="preserve">Draft Report on IT Examination</w:t>
      </w:r>
    </w:p>
    <w:p>
      <w:pPr>
        <w:spacing w:after="60"/>
        <w:jc w:val="center"/>
      </w:pPr>
      <w:r>
        <w:rPr>
          <w:b/>
          <w:bCs/>
          <w:color w:val="1F3864"/>
          <w:sz w:val="36"/>
          <w:szCs w:val="36"/>
        </w:rPr>
        <w:t xml:space="preserve">Suvarna Nagari Co-operative Bank Limited</w:t>
      </w:r>
    </w:p>
    <w:p>
      <w:pPr>
        <w:spacing w:after="200"/>
        <w:jc w:val="center"/>
      </w:pPr>
      <w:r>
        <w:rPr>
          <w:b w:val="false"/>
          <w:bCs w:val="false"/>
          <w:i/>
          <w:iCs/>
          <w:color w:val="595959"/>
          <w:sz w:val="20"/>
          <w:szCs w:val="20"/>
        </w:rPr>
        <w:t xml:space="preserve">Non-scheduled Primary (Urban) Co-operative Bank — Cyber Framework Level I / II</w:t>
      </w:r>
    </w:p>
    <w:p>
      <w:pPr>
        <w:spacing w:after="60"/>
        <w:jc w:val="center"/>
      </w:pPr>
      <w:r>
        <w:rPr>
          <w:b/>
          <w:bCs/>
          <w:color w:val="262626"/>
          <w:sz w:val="22"/>
          <w:szCs w:val="22"/>
        </w:rPr>
        <w:t xml:space="preserve">March 03 to 07, 2025</w:t>
      </w:r>
    </w:p>
    <w:p>
      <w:pPr>
        <w:spacing w:after="400"/>
        <w:jc w:val="center"/>
      </w:pPr>
      <w:r>
        <w:rPr>
          <w:b w:val="false"/>
          <w:bCs w:val="false"/>
          <w:color w:val="595959"/>
          <w:sz w:val="18"/>
          <w:szCs w:val="18"/>
        </w:rPr>
        <w:t xml:space="preserve">Examination reference: DoS.CO.CSITEG.ITE.UCB.0231/2024-25</w:t>
      </w:r>
    </w:p>
    <w:p>
      <w:pPr>
        <w:pBdr>
          <w:top w:val="single" w:color="C00000" w:sz="6" w:space="6"/>
          <w:bottom w:val="single" w:color="C00000" w:sz="6" w:space="6"/>
        </w:pBdr>
        <w:spacing w:after="40" w:before="300"/>
        <w:jc w:val="center"/>
      </w:pPr>
      <w:r>
        <w:rPr>
          <w:b/>
          <w:bCs/>
          <w:color w:val="C00000"/>
          <w:sz w:val="16"/>
          <w:szCs w:val="16"/>
        </w:rPr>
        <w:t xml:space="preserve">FICTIONAL / ILLUSTRATIVE SAMPLE — NOT A REAL SUPERVISORY DOCUMENT</w:t>
      </w:r>
    </w:p>
    <w:p>
      <w:pPr>
        <w:jc w:val="center"/>
      </w:pPr>
      <w:r>
        <w:rPr>
          <w:i/>
          <w:iCs/>
          <w:color w:val="595959"/>
          <w:sz w:val="15"/>
          <w:szCs w:val="15"/>
        </w:rPr>
        <w:t xml:space="preserve">All entities, persons, systems, vendors, data and findings herein are entirely fictional.</w:t>
      </w:r>
    </w:p>
    <w:p>
      <w:r>
        <w:br w:type="page"/>
      </w:r>
    </w:p>
    <w:p>
      <w:pPr>
        <w:pStyle w:val="Heading1"/>
        <w:shd w:fill="1F3864" w:val="clear"/>
        <w:spacing w:after="160" w:before="240"/>
      </w:pPr>
      <w:r>
        <w:rPr>
          <w:b/>
          <w:bCs/>
          <w:color w:val="FFFFFF"/>
          <w:sz w:val="24"/>
          <w:szCs w:val="24"/>
        </w:rPr>
        <w:t xml:space="preserve">CONTENT</w:t>
      </w:r>
    </w:p>
    <w:sdt>
      <w:sdtPr>
        <w:alias w:val="Content"/>
      </w:sdtPr>
      <w:sdtContent>
        <w:p>
          <w:r>
            <w:fldChar w:fldCharType="begin" w:dirty="true"/>
            <w:instrText xml:space="preserve">TOC \h \o "1-1"</w:instrText>
            <w:fldChar w:fldCharType="separate"/>
          </w:r>
        </w:p>
        <w:p>
          <w:r>
            <w:fldChar w:fldCharType="end"/>
          </w:r>
        </w:p>
      </w:sdtContent>
    </w:sdt>
    <w:p>
      <w:r>
        <w:br w:type="page"/>
      </w:r>
    </w:p>
    <w:p>
      <w:pPr>
        <w:pStyle w:val="Heading1"/>
        <w:shd w:fill="1F3864" w:val="clear"/>
        <w:spacing w:after="160" w:before="240"/>
      </w:pPr>
      <w:r>
        <w:rPr>
          <w:b/>
          <w:bCs/>
          <w:color w:val="FFFFFF"/>
          <w:sz w:val="24"/>
          <w:szCs w:val="24"/>
        </w:rPr>
        <w:t xml:space="preserve">Section 1: Background and Introduction</w:t>
      </w:r>
    </w:p>
    <w:p>
      <w:pPr>
        <w:spacing w:after="120" w:line="276"/>
      </w:pPr>
      <w:r>
        <w:rPr>
          <w:b/>
          <w:bCs/>
        </w:rPr>
        <w:t xml:space="preserve">1.1   </w:t>
      </w:r>
      <w:r>
        <w:t xml:space="preserve">The IT Examination of Suvarna Nagari Co-operative Bank Limited (Level – I/II UCB) was conducted March 03 to 07, 2025. The focus of the examination was to assess the cyber security risk in the entity by examining in detail the cyber security and resilience framework implemented by the entity in terms of the following circulars / directions of the Reserve Bank of India (RBI):</w:t>
      </w:r>
    </w:p>
    <w:p>
      <w:pPr>
        <w:pStyle w:val="ListParagraph"/>
        <w:numPr>
          <w:ilvl w:val="0"/>
          <w:numId w:val="2"/>
        </w:numPr>
        <w:spacing w:after="80" w:line="264"/>
      </w:pPr>
      <w:r>
        <w:t xml:space="preserve">RBI Circular DCBS.CO.PCB.Cir.No.1/18.01.000/2018-19 on Basic Cyber Security Framework for Primary (Urban) Co-operative Banks (UCBs) dated October 19, 2018.</w:t>
      </w:r>
    </w:p>
    <w:p>
      <w:pPr>
        <w:pStyle w:val="ListParagraph"/>
        <w:numPr>
          <w:ilvl w:val="0"/>
          <w:numId w:val="2"/>
        </w:numPr>
        <w:spacing w:after="80" w:line="264"/>
      </w:pPr>
      <w:r>
        <w:t xml:space="preserve">RBI Circular DoS.CO/CSITE/BC.4083/31.01.052/2019-20 on Comprehensive Cyber Security Framework for Primary (Urban) Co-operative Banks (UCBs) – A Graded Approach dated December 31, 2019.</w:t>
      </w:r>
    </w:p>
    <w:p>
      <w:pPr>
        <w:pStyle w:val="ListParagraph"/>
        <w:numPr>
          <w:ilvl w:val="0"/>
          <w:numId w:val="2"/>
        </w:numPr>
        <w:spacing w:after="80" w:line="264"/>
      </w:pPr>
      <w:r>
        <w:t xml:space="preserve">Master Direction DoS.CO.CSITEG/SEC.1/31.01.015/2023-24 on Outsourcing of Information Technology Services dated April 10, 2023.</w:t>
      </w:r>
    </w:p>
    <w:p>
      <w:pPr>
        <w:spacing w:after="120" w:line="276"/>
      </w:pPr>
      <w:r>
        <w:rPr>
          <w:b/>
          <w:bCs/>
        </w:rPr>
        <w:t xml:space="preserve">1.2   </w:t>
      </w:r>
      <w:r>
        <w:t xml:space="preserve">The approach adopted for the examination included the following:</w:t>
      </w:r>
    </w:p>
    <w:p>
      <w:pPr>
        <w:pStyle w:val="ListParagraph"/>
        <w:numPr>
          <w:ilvl w:val="0"/>
          <w:numId w:val="2"/>
        </w:numPr>
        <w:spacing w:after="90" w:line="268"/>
      </w:pPr>
      <w:r>
        <w:t xml:space="preserve">Meetings with the entity on IT / Information Security (IS) / Cyber Security (CS) organizational structure, measures implemented, enterprise architecture for applications and infrastructure, digital initiatives and cyber security roadmap.</w:t>
      </w:r>
    </w:p>
    <w:p>
      <w:pPr>
        <w:pStyle w:val="ListParagraph"/>
        <w:numPr>
          <w:ilvl w:val="0"/>
          <w:numId w:val="2"/>
        </w:numPr>
        <w:spacing w:after="90" w:line="268"/>
      </w:pPr>
      <w:r>
        <w:t xml:space="preserve">Structured meetings and interactions with Head-IT, select business / technology functions, the Chief Information Security Officer (CISO), IT operations, IT / IS security teams and IS-Audit.</w:t>
      </w:r>
    </w:p>
    <w:p>
      <w:pPr>
        <w:pStyle w:val="ListParagraph"/>
        <w:numPr>
          <w:ilvl w:val="0"/>
          <w:numId w:val="2"/>
        </w:numPr>
        <w:spacing w:after="90" w:line="268"/>
      </w:pPr>
      <w:r>
        <w:t xml:space="preserve">Perusal / review of agenda and minutes of committee meetings, IT / IS audit reports, BCP / DR documentation and VA/PT reports, on a sample basis.</w:t>
      </w:r>
    </w:p>
    <w:p>
      <w:pPr>
        <w:pStyle w:val="ListParagraph"/>
        <w:numPr>
          <w:ilvl w:val="0"/>
          <w:numId w:val="2"/>
        </w:numPr>
        <w:spacing w:after="90" w:line="268"/>
      </w:pPr>
      <w:r>
        <w:t xml:space="preserve">Walkthrough of security solutions, infrastructure and applications, on a sample basis, as demonstrated by the entity.</w:t>
      </w:r>
    </w:p>
    <w:p>
      <w:pPr>
        <w:pStyle w:val="ListParagraph"/>
        <w:numPr>
          <w:ilvl w:val="0"/>
          <w:numId w:val="2"/>
        </w:numPr>
        <w:spacing w:after="90" w:line="268"/>
      </w:pPr>
      <w:r>
        <w:t xml:space="preserve">Response of the entity to specific queries / clarifications elicited.</w:t>
      </w:r>
    </w:p>
    <w:p>
      <w:pPr>
        <w:pStyle w:val="ListParagraph"/>
        <w:numPr>
          <w:ilvl w:val="0"/>
          <w:numId w:val="2"/>
        </w:numPr>
        <w:spacing w:after="90" w:line="268"/>
      </w:pPr>
      <w:r>
        <w:t xml:space="preserve">Compliance testing rather than substantive testing.</w:t>
      </w:r>
    </w:p>
    <w:p>
      <w:pPr>
        <w:pStyle w:val="ListParagraph"/>
        <w:numPr>
          <w:ilvl w:val="0"/>
          <w:numId w:val="2"/>
        </w:numPr>
        <w:spacing w:after="90" w:line="268"/>
      </w:pPr>
      <w:r>
        <w:t xml:space="preserve">Visit to the bank's server room and review of the service-bureau hosting arrangement.</w:t>
      </w:r>
    </w:p>
    <w:p>
      <w:pPr>
        <w:spacing w:after="120" w:line="276"/>
      </w:pPr>
      <w:r>
        <w:rPr>
          <w:b/>
          <w:bCs/>
        </w:rPr>
        <w:t xml:space="preserve">1.3   </w:t>
      </w:r>
      <w:r>
        <w:t xml:space="preserve">Cyber security risk assessment is a point-in-time assessment subject to change over a period. Even though observations are made based on sample data / systems, the entity needs to ensure that the issues raised are resolved at a systemic level (holistically) and that necessary systems / controls are in place to ensure sustenance of such compliance.</w:t>
      </w:r>
    </w:p>
    <w:p>
      <w:pPr>
        <w:spacing w:after="120" w:line="276"/>
      </w:pPr>
      <w:r>
        <w:rPr>
          <w:b/>
          <w:bCs/>
        </w:rPr>
        <w:t xml:space="preserve">1.4   </w:t>
      </w:r>
      <w:r>
        <w:t xml:space="preserve">Profile of the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126"/>
        <w:gridCol w:w="31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 No.</w:t>
            </w:r>
          </w:p>
        </w:tc>
        <w:tc>
          <w:tcPr>
            <w:tcW w:type="dxa" w:w="51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Parameter</w:t>
            </w:r>
          </w:p>
        </w:tc>
        <w:tc>
          <w:tcPr>
            <w:tcW w:type="dxa" w:w="3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As on March 31, 2024</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Asset size of the Supervised Entity (₹ in crore)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640.00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branches / ATMs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16 / 9</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retail customers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1,20,400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CBS arrangement</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Service-bureau / shared CBS (third-party operated)</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Digital channels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RTGS / NEFT, basic mobile / UPI (via sponsor)</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Dedicated IT / IS staff</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Nil (reliance on vendor)</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Critical assets identified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Service-bureau CBS access, branch network, ATM</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Cloud services used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Minimal</w:t>
            </w:r>
          </w:p>
        </w:tc>
      </w:tr>
    </w:tbl>
    <w:p>
      <w:r>
        <w:br w:type="page"/>
      </w:r>
    </w:p>
    <w:p>
      <w:pPr>
        <w:pStyle w:val="Heading1"/>
        <w:shd w:fill="1F3864" w:val="clear"/>
        <w:spacing w:after="160" w:before="240"/>
      </w:pPr>
      <w:r>
        <w:rPr>
          <w:b/>
          <w:bCs/>
          <w:color w:val="FFFFFF"/>
          <w:sz w:val="24"/>
          <w:szCs w:val="24"/>
        </w:rPr>
        <w:t xml:space="preserve">Section 2: Executive Summary</w:t>
      </w:r>
    </w:p>
    <w:p>
      <w:pPr>
        <w:pStyle w:val="Heading2"/>
        <w:shd w:fill="DCE6F1" w:val="clear"/>
        <w:spacing w:after="100" w:before="180"/>
      </w:pPr>
      <w:r>
        <w:rPr>
          <w:b/>
          <w:bCs/>
          <w:color w:val="1F3864"/>
          <w:sz w:val="21"/>
          <w:szCs w:val="21"/>
        </w:rPr>
        <w:t xml:space="preserve">Governance and Security Organisation</w:t>
      </w:r>
    </w:p>
    <w:p>
      <w:pPr>
        <w:pStyle w:val="ListParagraph"/>
        <w:numPr>
          <w:ilvl w:val="0"/>
          <w:numId w:val="2"/>
        </w:numPr>
        <w:spacing w:after="90" w:line="268"/>
      </w:pPr>
      <w:r>
        <w:t xml:space="preserve">No official was designated as primarily responsible for information / cyber security and there was no dedicated IT / IS function (Annex-I, baseline).</w:t>
      </w:r>
    </w:p>
    <w:p>
      <w:pPr>
        <w:pStyle w:val="Heading2"/>
        <w:shd w:fill="DCE6F1" w:val="clear"/>
        <w:spacing w:after="100" w:before="180"/>
      </w:pPr>
      <w:r>
        <w:rPr>
          <w:b/>
          <w:bCs/>
          <w:color w:val="1F3864"/>
          <w:sz w:val="21"/>
          <w:szCs w:val="21"/>
        </w:rPr>
        <w:t xml:space="preserve">Baseline Cyber-Security Controls (Annex I)</w:t>
      </w:r>
    </w:p>
    <w:p>
      <w:pPr>
        <w:pStyle w:val="ListParagraph"/>
        <w:numPr>
          <w:ilvl w:val="0"/>
          <w:numId w:val="2"/>
        </w:numPr>
        <w:spacing w:after="90" w:line="268"/>
      </w:pPr>
      <w:r>
        <w:t xml:space="preserve">A bank-specific email domain with DMARC / anti-phishing was not implemented and a current inventory of authorised devices / software was absent.</w:t>
      </w:r>
    </w:p>
    <w:p>
      <w:pPr>
        <w:pStyle w:val="ListParagraph"/>
        <w:numPr>
          <w:ilvl w:val="0"/>
          <w:numId w:val="2"/>
        </w:numPr>
        <w:spacing w:after="90" w:line="268"/>
      </w:pPr>
      <w:r>
        <w:t xml:space="preserve">Two-factor authentication for CBS access was only partially enforced and the second factor was not consistently dynamic.</w:t>
      </w:r>
    </w:p>
    <w:p>
      <w:r>
        <w:br w:type="page"/>
      </w:r>
    </w:p>
    <w:p>
      <w:pPr>
        <w:pStyle w:val="Heading1"/>
        <w:shd w:fill="1F3864" w:val="clear"/>
        <w:spacing w:after="160" w:before="240"/>
      </w:pPr>
      <w:r>
        <w:rPr>
          <w:b/>
          <w:bCs/>
          <w:color w:val="FFFFFF"/>
          <w:sz w:val="24"/>
          <w:szCs w:val="24"/>
        </w:rPr>
        <w:t xml:space="preserve">Section 3: IT Examination Observations and Action Points</w:t>
      </w:r>
    </w:p>
    <w:p>
      <w:pPr>
        <w:pStyle w:val="Heading2"/>
        <w:shd w:fill="DCE6F1" w:val="clear"/>
        <w:spacing w:after="100" w:before="180"/>
      </w:pPr>
      <w:r>
        <w:rPr>
          <w:b/>
          <w:bCs/>
          <w:color w:val="1F3864"/>
          <w:sz w:val="21"/>
          <w:szCs w:val="21"/>
        </w:rPr>
        <w:t xml:space="preserve">Governance and Security Organisation</w:t>
      </w:r>
    </w:p>
    <w:p>
      <w:pPr>
        <w:spacing w:after="120" w:line="276"/>
      </w:pPr>
      <w:r>
        <w:t xml:space="preserve">The following gap was observed, which was in violation of the baseline governance provisions of the Basic Cyber Security Framework dated October 19, 2018:</w:t>
      </w:r>
    </w:p>
    <w:p>
      <w:pPr>
        <w:pStyle w:val="ListParagraph"/>
        <w:numPr>
          <w:ilvl w:val="0"/>
          <w:numId w:val="2"/>
        </w:numPr>
        <w:tabs>
          <w:tab w:val="right" w:pos="8926"/>
        </w:tabs>
        <w:spacing w:after="90" w:line="268"/>
      </w:pPr>
      <w:r>
        <w:t xml:space="preserve">The bank had not designated an official primarily responsible for information / cyber security and there was no dedicated IT / IS function.</w:t>
      </w:r>
      <w:r>
        <w:rPr>
          <w:b/>
          <w:bCs/>
        </w:rPr>
        <w:t xml:space="preserve">	(Action)</w:t>
      </w:r>
    </w:p>
    <w:p>
      <w:pPr>
        <w:pStyle w:val="Heading2"/>
        <w:shd w:fill="DCE6F1" w:val="clear"/>
        <w:spacing w:after="100" w:before="180"/>
      </w:pPr>
      <w:r>
        <w:rPr>
          <w:b/>
          <w:bCs/>
          <w:color w:val="1F3864"/>
          <w:sz w:val="21"/>
          <w:szCs w:val="21"/>
        </w:rPr>
        <w:t xml:space="preserve">Baseline Cyber-Security Controls (Annex I)</w:t>
      </w:r>
    </w:p>
    <w:p>
      <w:pPr>
        <w:spacing w:after="120" w:line="276"/>
      </w:pPr>
      <w:r>
        <w:t xml:space="preserve">The following gaps were observed, which were in violation of Annex-I of the Basic Cyber Security Framework dated October 19, 2018:</w:t>
      </w:r>
    </w:p>
    <w:p>
      <w:pPr>
        <w:pStyle w:val="ListParagraph"/>
        <w:numPr>
          <w:ilvl w:val="0"/>
          <w:numId w:val="2"/>
        </w:numPr>
        <w:tabs>
          <w:tab w:val="right" w:pos="8926"/>
        </w:tabs>
        <w:spacing w:after="90" w:line="268"/>
      </w:pPr>
      <w:r>
        <w:t xml:space="preserve">A bank-specific email domain with DMARC / anti-phishing was not implemented.</w:t>
      </w:r>
      <w:r>
        <w:rPr>
          <w:b/>
          <w:bCs/>
        </w:rPr>
        <w:t xml:space="preserve">	(Action)</w:t>
      </w:r>
    </w:p>
    <w:p>
      <w:pPr>
        <w:pStyle w:val="ListParagraph"/>
        <w:numPr>
          <w:ilvl w:val="0"/>
          <w:numId w:val="2"/>
        </w:numPr>
        <w:tabs>
          <w:tab w:val="right" w:pos="8926"/>
        </w:tabs>
        <w:spacing w:after="90" w:line="268"/>
      </w:pPr>
      <w:r>
        <w:t xml:space="preserve">A centralized, current inventory of authorised devices / software was not maintained.</w:t>
      </w:r>
      <w:r>
        <w:rPr>
          <w:b/>
          <w:bCs/>
        </w:rPr>
        <w:t xml:space="preserve">	(Action)</w:t>
      </w:r>
    </w:p>
    <w:p>
      <w:pPr>
        <w:pStyle w:val="Heading2"/>
        <w:shd w:fill="DCE6F1" w:val="clear"/>
        <w:spacing w:after="100" w:before="180"/>
      </w:pPr>
      <w:r>
        <w:rPr>
          <w:b/>
          <w:bCs/>
          <w:color w:val="1F3864"/>
          <w:sz w:val="21"/>
          <w:szCs w:val="21"/>
        </w:rPr>
        <w:t xml:space="preserve">Access Control and 2FA for CBS</w:t>
      </w:r>
    </w:p>
    <w:p>
      <w:pPr>
        <w:pStyle w:val="ListParagraph"/>
        <w:numPr>
          <w:ilvl w:val="0"/>
          <w:numId w:val="2"/>
        </w:numPr>
        <w:tabs>
          <w:tab w:val="right" w:pos="8926"/>
        </w:tabs>
        <w:spacing w:after="90" w:line="268"/>
      </w:pPr>
      <w:r>
        <w:t xml:space="preserve">Two-factor authentication for CBS access was only partially enforced and the second factor was not consistently dynamic, which was non-adherence to the access-control provisions of Annex-I of the Basic Cyber Security Framework.</w:t>
      </w:r>
      <w:r>
        <w:rPr>
          <w:b/>
          <w:bCs/>
        </w:rPr>
        <w:t xml:space="preserve">	(Action)</w:t>
      </w:r>
    </w:p>
    <w:p>
      <w:pPr>
        <w:pStyle w:val="Heading2"/>
        <w:shd w:fill="DCE6F1" w:val="clear"/>
        <w:spacing w:after="100" w:before="180"/>
      </w:pPr>
      <w:r>
        <w:rPr>
          <w:b/>
          <w:bCs/>
          <w:color w:val="1F3864"/>
          <w:sz w:val="21"/>
          <w:szCs w:val="21"/>
        </w:rPr>
        <w:t xml:space="preserve">Service-Bureau / Outsourcing Oversight</w:t>
      </w:r>
    </w:p>
    <w:p>
      <w:pPr>
        <w:spacing w:after="120" w:line="276"/>
      </w:pPr>
      <w:r>
        <w:t xml:space="preserve">The following gaps were observed, which were in violation of the Master Direction on Outsourcing of IT Services dated April 10, 2023:</w:t>
      </w:r>
    </w:p>
    <w:p>
      <w:pPr>
        <w:pStyle w:val="ListParagraph"/>
        <w:numPr>
          <w:ilvl w:val="0"/>
          <w:numId w:val="2"/>
        </w:numPr>
        <w:tabs>
          <w:tab w:val="right" w:pos="8926"/>
        </w:tabs>
        <w:spacing w:after="90" w:line="268"/>
      </w:pPr>
      <w:r>
        <w:t xml:space="preserve">Oversight of the CBS service bureau was limited, with no documented service levels, security obligations or exit / continuity arrangement.</w:t>
      </w:r>
      <w:r>
        <w:rPr>
          <w:b/>
          <w:bCs/>
        </w:rPr>
        <w:t xml:space="preserve">	(Action)</w:t>
      </w:r>
    </w:p>
    <w:p>
      <w:pPr>
        <w:pStyle w:val="Heading2"/>
        <w:shd w:fill="DCE6F1" w:val="clear"/>
        <w:spacing w:after="100" w:before="180"/>
      </w:pPr>
      <w:r>
        <w:rPr>
          <w:b/>
          <w:bCs/>
          <w:color w:val="1F3864"/>
          <w:sz w:val="21"/>
          <w:szCs w:val="21"/>
        </w:rPr>
        <w:t xml:space="preserve">Security Review of Terminals and Backup</w:t>
      </w:r>
    </w:p>
    <w:p>
      <w:pPr>
        <w:pStyle w:val="ListParagraph"/>
        <w:numPr>
          <w:ilvl w:val="0"/>
          <w:numId w:val="2"/>
        </w:numPr>
        <w:tabs>
          <w:tab w:val="right" w:pos="8926"/>
        </w:tabs>
        <w:spacing w:after="90" w:line="268"/>
      </w:pPr>
      <w:r>
        <w:t xml:space="preserve">Periodic security review of PCs / terminals used to access the CBS was not conducted.</w:t>
      </w:r>
      <w:r>
        <w:rPr>
          <w:b/>
          <w:bCs/>
        </w:rPr>
        <w:t xml:space="preserve">	(Action)</w:t>
      </w:r>
    </w:p>
    <w:p>
      <w:pPr>
        <w:pStyle w:val="ListParagraph"/>
        <w:numPr>
          <w:ilvl w:val="0"/>
          <w:numId w:val="2"/>
        </w:numPr>
        <w:tabs>
          <w:tab w:val="right" w:pos="8926"/>
        </w:tabs>
        <w:spacing w:after="90" w:line="268"/>
      </w:pPr>
      <w:r>
        <w:t xml:space="preserve">Daily backups were taken but restoration was not periodically tested.</w:t>
      </w:r>
      <w:r>
        <w:rPr>
          <w:b/>
          <w:bCs/>
        </w:rPr>
        <w:t xml:space="preserve">	(Action)</w:t>
      </w:r>
    </w:p>
    <w:p>
      <w:pPr>
        <w:pStyle w:val="Heading2"/>
        <w:shd w:fill="DCE6F1" w:val="clear"/>
        <w:spacing w:after="100" w:before="180"/>
      </w:pPr>
      <w:r>
        <w:rPr>
          <w:b/>
          <w:bCs/>
          <w:color w:val="1F3864"/>
          <w:sz w:val="21"/>
          <w:szCs w:val="21"/>
        </w:rPr>
        <w:t xml:space="preserve">User / Employee Awareness</w:t>
      </w:r>
    </w:p>
    <w:p>
      <w:pPr>
        <w:pStyle w:val="ListParagraph"/>
        <w:numPr>
          <w:ilvl w:val="0"/>
          <w:numId w:val="2"/>
        </w:numPr>
        <w:tabs>
          <w:tab w:val="right" w:pos="8926"/>
        </w:tabs>
        <w:spacing w:after="90" w:line="268"/>
      </w:pPr>
      <w:r>
        <w:t xml:space="preserve">Periodic information-security awareness training was not conducted for employees, which was non-adherence to para 10.1 of Annex-I of the Basic Cyber Security Framework.</w:t>
      </w:r>
      <w:r>
        <w:rPr>
          <w:b/>
          <w:bCs/>
        </w:rPr>
        <w:t xml:space="preserve">	(Action)</w:t>
      </w:r>
    </w:p>
    <w:p>
      <w:r>
        <w:br w:type="page"/>
      </w:r>
    </w:p>
    <w:p>
      <w:pPr>
        <w:pStyle w:val="Heading1"/>
        <w:shd w:fill="1F3864" w:val="clear"/>
        <w:spacing w:after="160" w:before="240"/>
      </w:pPr>
      <w:r>
        <w:rPr>
          <w:b/>
          <w:bCs/>
          <w:color w:val="FFFFFF"/>
          <w:sz w:val="24"/>
          <w:szCs w:val="24"/>
        </w:rPr>
        <w:t xml:space="preserve">Section 4 — Number of Action Points</w:t>
      </w:r>
    </w:p>
    <w:p>
      <w:pPr>
        <w:spacing w:after="120" w:line="276"/>
      </w:pPr>
      <w:r>
        <w:rPr>
          <w:b/>
          <w:bCs/>
        </w:rPr>
        <w:t xml:space="preserve">Number of Total Action Points: </w:t>
      </w:r>
      <w:r>
        <w:rPr>
          <w:b/>
          <w:bCs/>
        </w:rPr>
        <w:t xml:space="preserve">15</w:t>
      </w:r>
    </w:p>
    <w:p>
      <w:pPr>
        <w:pStyle w:val="ListParagraph"/>
        <w:numPr>
          <w:ilvl w:val="0"/>
          <w:numId w:val="2"/>
        </w:numPr>
        <w:spacing w:after="90" w:line="268"/>
      </w:pPr>
      <w:r>
        <w:rPr>
          <w:b/>
          <w:bCs/>
        </w:rPr>
        <w:t xml:space="preserve">Section 3 Observations: </w:t>
      </w:r>
      <w:r>
        <w:t xml:space="preserve">8 Action Points</w:t>
      </w:r>
    </w:p>
    <w:p>
      <w:pPr>
        <w:pStyle w:val="ListParagraph"/>
        <w:numPr>
          <w:ilvl w:val="0"/>
          <w:numId w:val="2"/>
        </w:numPr>
        <w:spacing w:after="90" w:line="268"/>
      </w:pPr>
      <w:r>
        <w:rPr>
          <w:b/>
          <w:bCs/>
        </w:rPr>
        <w:t xml:space="preserve">Annex I — Non-complied previous ITE observations: </w:t>
      </w:r>
      <w:r>
        <w:t xml:space="preserve">3 Action Points</w:t>
      </w:r>
    </w:p>
    <w:p>
      <w:pPr>
        <w:pStyle w:val="ListParagraph"/>
        <w:numPr>
          <w:ilvl w:val="0"/>
          <w:numId w:val="2"/>
        </w:numPr>
        <w:spacing w:after="90" w:line="268"/>
      </w:pPr>
      <w:r>
        <w:rPr>
          <w:b/>
          <w:bCs/>
        </w:rPr>
        <w:t xml:space="preserve">Annex II — Non-compliance to Advisories and Alerts: </w:t>
      </w:r>
      <w:r>
        <w:t xml:space="preserve">4 Action Points</w:t>
      </w:r>
    </w:p>
    <w:p>
      <w:r>
        <w:br w:type="page"/>
      </w:r>
    </w:p>
    <w:p>
      <w:pPr>
        <w:pStyle w:val="Heading1"/>
        <w:shd w:fill="1F3864" w:val="clear"/>
        <w:spacing w:after="160" w:before="240"/>
      </w:pPr>
      <w:r>
        <w:rPr>
          <w:b/>
          <w:bCs/>
          <w:color w:val="FFFFFF"/>
          <w:sz w:val="24"/>
          <w:szCs w:val="24"/>
        </w:rPr>
        <w:t xml:space="preserve">Section 5 — Other Observations (Non-actionable)</w:t>
      </w:r>
    </w:p>
    <w:p>
      <w:pPr>
        <w:pStyle w:val="ListParagraph"/>
        <w:numPr>
          <w:ilvl w:val="0"/>
          <w:numId w:val="2"/>
        </w:numPr>
        <w:spacing w:after="90" w:line="268"/>
      </w:pPr>
      <w:r>
        <w:t xml:space="preserve">Physical access controls at the server room were observed to be adequate.</w:t>
      </w:r>
    </w:p>
    <w:p>
      <w:pPr>
        <w:pStyle w:val="ListParagraph"/>
        <w:numPr>
          <w:ilvl w:val="0"/>
          <w:numId w:val="2"/>
        </w:numPr>
        <w:spacing w:after="90" w:line="268"/>
      </w:pPr>
      <w:r>
        <w:t xml:space="preserve">Staff awareness sessions on phishing were initiated during the year.</w:t>
      </w:r>
    </w:p>
    <w:p>
      <w:pPr>
        <w:pStyle w:val="ListParagraph"/>
        <w:numPr>
          <w:ilvl w:val="0"/>
          <w:numId w:val="2"/>
        </w:numPr>
        <w:spacing w:after="90" w:line="268"/>
      </w:pPr>
      <w:r>
        <w:t xml:space="preserve">Higher-level controls (C-SOC, RBTM under Annex III / IV) are not applicable at the bank's level.</w:t>
      </w:r>
    </w:p>
    <w:p>
      <w:r>
        <w:br w:type="page"/>
      </w:r>
    </w:p>
    <w:p>
      <w:pPr>
        <w:pStyle w:val="Heading1"/>
        <w:shd w:fill="1F3864" w:val="clear"/>
        <w:spacing w:after="160" w:before="240"/>
      </w:pPr>
      <w:r>
        <w:rPr>
          <w:b/>
          <w:bCs/>
          <w:color w:val="FFFFFF"/>
          <w:sz w:val="24"/>
          <w:szCs w:val="24"/>
        </w:rPr>
        <w:t xml:space="preserve">Annex I — Non-complied / Partially-complied Previous ITE Observations</w:t>
      </w:r>
    </w:p>
    <w:p>
      <w:pPr>
        <w:spacing w:after="120"/>
      </w:pPr>
      <w:r>
        <w:t xml:space="preserve">Details of ‘Not / Partially Complied’ observations from previous IT Examinations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1500"/>
        <w:gridCol w:w="760"/>
        <w:gridCol w:w="3046"/>
        <w:gridCol w:w="12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Audit</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Area</w:t>
            </w:r>
          </w:p>
        </w:tc>
        <w:tc>
          <w:tcPr>
            <w:tcW w:type="dxa" w:w="7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w:t>
            </w:r>
          </w:p>
        </w:tc>
        <w:tc>
          <w:tcPr>
            <w:tcW w:type="dxa" w:w="30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Observation</w:t>
            </w:r>
          </w:p>
        </w:tc>
        <w:tc>
          <w:tcPr>
            <w:tcW w:type="dxa" w:w="1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Remarks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Governance</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Security official not designated.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Email Security</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Bank-specific email domain / DMARC not implemented.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Backup</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Backup restoration not tested.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p>
      <w:r>
        <w:br w:type="page"/>
      </w:r>
    </w:p>
    <w:p>
      <w:pPr>
        <w:pStyle w:val="Heading1"/>
        <w:shd w:fill="1F3864" w:val="clear"/>
        <w:spacing w:after="160" w:before="240"/>
      </w:pPr>
      <w:r>
        <w:rPr>
          <w:b/>
          <w:bCs/>
          <w:color w:val="FFFFFF"/>
          <w:sz w:val="24"/>
          <w:szCs w:val="24"/>
        </w:rPr>
        <w:t xml:space="preserve">Annex II — Non-compliance to Advisories and Alerts</w:t>
      </w:r>
    </w:p>
    <w:p>
      <w:pPr>
        <w:spacing w:after="120"/>
      </w:pPr>
      <w:r>
        <w:t xml:space="preserve">Details of advisories and alerts which were not / partially complied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2300"/>
        <w:gridCol w:w="35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Issued Date</w:t>
            </w:r>
          </w:p>
        </w:tc>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Advisory / Circular</w:t>
            </w:r>
          </w:p>
        </w:tc>
        <w:tc>
          <w:tcPr>
            <w:tcW w:type="dxa" w:w="35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Subject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28-Nov-23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14/2023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Android Applications distributed via SMS / Email (social engineering)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13-Oct-23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7/2023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Un-authorized fraudulent transactions through Retail Internet Banking application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19-Dec-24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10/2024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Heightened caution during weekends / extended weekends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09-May-23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UCB-1/2023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Protection of network / end-hosts for secure payment ecosystem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color w:val="595959"/>
        <w:sz w:val="14"/>
        <w:szCs w:val="14"/>
      </w:rPr>
      <w:t xml:space="preserve">RBI — Department of Supervision — CSITEG  ·  Page </w:t>
    </w:r>
    <w:r>
      <w:rPr>
        <w:color w:val="595959"/>
        <w:sz w:val="14"/>
        <w:szCs w:val="14"/>
      </w:rPr>
      <w:fldChar w:fldCharType="begin"/>
      <w:instrText xml:space="preserve">PAGE</w:instrText>
      <w:fldChar w:fldCharType="separate"/>
      <w:fldChar w:fldCharType="end"/>
    </w:r>
    <w:r>
      <w:rPr>
        <w:color w:val="595959"/>
        <w:sz w:val="14"/>
        <w:szCs w:val="14"/>
      </w:rPr>
      <w:t xml:space="preserve"> of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4"/>
        <w:szCs w:val="14"/>
      </w:rPr>
      <w:t xml:space="preserve">CONFIDENTIAL (Fictional)  |  SNCB  |  Draft Report on IT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4"/>
      <w:szCs w:val="24"/>
    </w:rPr>
  </w:style>
  <w:style w:type="paragraph" w:styleId="Heading2">
    <w:name w:val="Heading 2"/>
    <w:basedOn w:val="Normal"/>
    <w:next w:val="Normal"/>
    <w:qFormat/>
    <w:pPr>
      <w:spacing w:after="100" w:before="18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Examination Report — Suvarna Nagari Co-operative Bank Limited</dc:title>
  <dc:creator>RBI CSITEG (fictional sample)</dc:creator>
  <cp:lastModifiedBy>Un-named</cp:lastModifiedBy>
  <cp:revision>1</cp:revision>
  <dcterms:created xsi:type="dcterms:W3CDTF">2026-06-16T03:00:57.156Z</dcterms:created>
  <dcterms:modified xsi:type="dcterms:W3CDTF">2026-06-16T03:00:57.156Z</dcterms:modified>
</cp:coreProperties>
</file>

<file path=docProps/custom.xml><?xml version="1.0" encoding="utf-8"?>
<Properties xmlns="http://schemas.openxmlformats.org/officeDocument/2006/custom-properties" xmlns:vt="http://schemas.openxmlformats.org/officeDocument/2006/docPropsVTypes"/>
</file>