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DI_SNCB_3_3_1_01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Two-factor authentication policy with dynamic second factor for CBS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Two-factor authentication for CBS access was only partially enforced and the second factor was not consistently dynamic, which was non-adherence to the access-control provisions of Annex-I of the Basic Cyber Security Framework.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