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DI_SNCB_3_3_1_04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2FA implementation gap analysis per Annex-I of BCSF at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3.3.1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3.3.1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Two-factor authentication for CBS access was only partially enforced and the second factor was not consistently dynamic, which was non-adherence to the access-control provisions of Annex-I of the Basic Cyber Security Framework.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Basic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Suvarna Nagari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3.3.1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Suvarna Nagari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