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252A124F" w:rsidR="00F30A86" w:rsidRDefault="00CC5C1F" w:rsidP="00E861C8">
      <w:pPr>
        <w:spacing w:after="0" w:line="480" w:lineRule="auto"/>
        <w:jc w:val="center"/>
        <w:rPr>
          <w:rFonts w:ascii="Arial" w:hAnsi="Arial" w:cs="Arial"/>
        </w:rPr>
      </w:pPr>
      <w:r>
        <w:rPr>
          <w:rFonts w:ascii="Arial" w:hAnsi="Arial" w:cs="Arial"/>
          <w:b/>
          <w:bCs/>
        </w:rPr>
        <w:t xml:space="preserve">National Trends in Osteomyelitis-Associated Mortality </w:t>
      </w:r>
      <w:r w:rsidR="00AF2FD1">
        <w:rPr>
          <w:rFonts w:ascii="Arial" w:hAnsi="Arial" w:cs="Arial"/>
          <w:b/>
          <w:bCs/>
        </w:rPr>
        <w:t>in the United States</w:t>
      </w:r>
      <w:r w:rsidR="00EC7ACC">
        <w:rPr>
          <w:rFonts w:ascii="Arial" w:hAnsi="Arial" w:cs="Arial"/>
          <w:b/>
          <w:bCs/>
        </w:rPr>
        <w:t>, 1990-2020</w:t>
      </w:r>
    </w:p>
    <w:p w14:paraId="4A448F13" w14:textId="77777777" w:rsidR="00BC6EBE" w:rsidRDefault="00BC6EBE" w:rsidP="00E861C8">
      <w:pPr>
        <w:spacing w:after="0" w:line="480" w:lineRule="auto"/>
        <w:jc w:val="center"/>
        <w:rPr>
          <w:rFonts w:ascii="Arial" w:hAnsi="Arial" w:cs="Arial"/>
        </w:rPr>
      </w:pPr>
    </w:p>
    <w:p w14:paraId="60123F00" w14:textId="7FEE0CB4" w:rsidR="00BC6EBE" w:rsidRDefault="00BC6EBE" w:rsidP="00E861C8">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270591" w:rsidRPr="00270591">
        <w:rPr>
          <w:rFonts w:ascii="Arial" w:hAnsi="Arial" w:cs="Arial"/>
          <w:vertAlign w:val="superscript"/>
        </w:rPr>
        <w:t>1</w:t>
      </w:r>
      <w:r w:rsidR="00C4289E">
        <w:rPr>
          <w:rFonts w:ascii="Arial" w:hAnsi="Arial" w:cs="Arial"/>
        </w:rPr>
        <w:t xml:space="preserve">, </w:t>
      </w:r>
      <w:r w:rsidR="0030239F">
        <w:rPr>
          <w:rFonts w:ascii="Arial" w:hAnsi="Arial" w:cs="Arial"/>
        </w:rPr>
        <w:t>Rodrigo M. Carillo Larco MD, PhD</w:t>
      </w:r>
      <w:r w:rsidR="00270591" w:rsidRPr="00270591">
        <w:rPr>
          <w:rFonts w:ascii="Arial" w:hAnsi="Arial" w:cs="Arial"/>
          <w:vertAlign w:val="superscript"/>
        </w:rPr>
        <w:t>2,3</w:t>
      </w:r>
      <w:r w:rsidR="00EC7213">
        <w:rPr>
          <w:rFonts w:ascii="Arial" w:hAnsi="Arial" w:cs="Arial"/>
        </w:rPr>
        <w:t xml:space="preserve">, </w:t>
      </w:r>
      <w:r w:rsidR="009A1C6D">
        <w:rPr>
          <w:rFonts w:ascii="Arial" w:hAnsi="Arial" w:cs="Arial"/>
        </w:rPr>
        <w:t>Marcos Coutinho Schechter</w:t>
      </w:r>
      <w:r w:rsidR="00BF3D2C">
        <w:rPr>
          <w:rFonts w:ascii="Arial" w:hAnsi="Arial" w:cs="Arial"/>
        </w:rPr>
        <w:t xml:space="preserve"> MD</w:t>
      </w:r>
      <w:r w:rsidR="00270591" w:rsidRPr="00270591">
        <w:rPr>
          <w:rFonts w:ascii="Arial" w:hAnsi="Arial" w:cs="Arial"/>
          <w:vertAlign w:val="superscript"/>
        </w:rPr>
        <w:t>4</w:t>
      </w:r>
    </w:p>
    <w:p w14:paraId="014EE3CA" w14:textId="77777777" w:rsidR="00A87F1B" w:rsidRDefault="00A87F1B" w:rsidP="00E861C8">
      <w:pPr>
        <w:spacing w:after="0" w:line="480" w:lineRule="auto"/>
        <w:jc w:val="center"/>
        <w:rPr>
          <w:rFonts w:ascii="Arial" w:hAnsi="Arial" w:cs="Arial"/>
        </w:rPr>
      </w:pPr>
    </w:p>
    <w:p w14:paraId="0EEB463D" w14:textId="77777777" w:rsidR="00430A48" w:rsidRPr="00430A48" w:rsidRDefault="00430A48" w:rsidP="00E861C8">
      <w:pPr>
        <w:spacing w:after="0" w:line="480" w:lineRule="auto"/>
        <w:rPr>
          <w:rFonts w:ascii="Arial" w:hAnsi="Arial" w:cs="Arial"/>
        </w:rPr>
      </w:pPr>
      <w:r w:rsidRPr="00430A48">
        <w:rPr>
          <w:rFonts w:ascii="Arial" w:hAnsi="Arial" w:cs="Arial"/>
        </w:rPr>
        <w:t>1. Emory College of Arts and Sciences, Emory University, Atlanta GA, USA</w:t>
      </w:r>
    </w:p>
    <w:p w14:paraId="72F257C4" w14:textId="77777777" w:rsidR="00430A48" w:rsidRPr="00430A48" w:rsidRDefault="00430A48" w:rsidP="00E861C8">
      <w:pPr>
        <w:spacing w:after="0" w:line="480" w:lineRule="auto"/>
        <w:rPr>
          <w:rFonts w:ascii="Arial" w:hAnsi="Arial" w:cs="Arial"/>
        </w:rPr>
      </w:pPr>
      <w:r w:rsidRPr="00430A48">
        <w:rPr>
          <w:rFonts w:ascii="Arial" w:hAnsi="Arial" w:cs="Arial"/>
        </w:rPr>
        <w:t>2. Emory Global Diabetes Research Center of Woodruff Health Sciences Center, Emory University, Atlanta, GA, USA</w:t>
      </w:r>
    </w:p>
    <w:p w14:paraId="561DF097" w14:textId="77777777" w:rsidR="00430A48" w:rsidRPr="00430A48" w:rsidRDefault="00430A48" w:rsidP="00E861C8">
      <w:pPr>
        <w:spacing w:after="0" w:line="480" w:lineRule="auto"/>
        <w:rPr>
          <w:rFonts w:ascii="Arial" w:hAnsi="Arial" w:cs="Arial"/>
        </w:rPr>
      </w:pPr>
      <w:r w:rsidRPr="00430A48">
        <w:rPr>
          <w:rFonts w:ascii="Arial" w:hAnsi="Arial" w:cs="Arial"/>
        </w:rPr>
        <w:t>3. Hubert Department of Global Health, Rollins School of Public Health, Emory University, Atlanta, GA, USA</w:t>
      </w:r>
    </w:p>
    <w:p w14:paraId="298EA4B5" w14:textId="77777777" w:rsidR="00446B39" w:rsidRDefault="00430A48" w:rsidP="00E861C8">
      <w:pPr>
        <w:spacing w:after="0" w:line="480" w:lineRule="auto"/>
        <w:rPr>
          <w:rFonts w:ascii="Arial" w:hAnsi="Arial" w:cs="Arial"/>
        </w:rPr>
      </w:pPr>
      <w:r w:rsidRPr="00430A48">
        <w:rPr>
          <w:rFonts w:ascii="Arial" w:hAnsi="Arial" w:cs="Arial"/>
        </w:rPr>
        <w:t>4. Grady Health System, Division of Infectious Diseases, Department of Medicine, School of Medicine, Emory University, Atlanta, GA, USA</w:t>
      </w:r>
    </w:p>
    <w:p w14:paraId="3036B9FC" w14:textId="77777777" w:rsidR="00446B39" w:rsidRDefault="00446B39" w:rsidP="00E861C8">
      <w:pPr>
        <w:spacing w:line="480" w:lineRule="auto"/>
        <w:rPr>
          <w:rFonts w:ascii="Arial" w:hAnsi="Arial" w:cs="Arial"/>
        </w:rPr>
      </w:pPr>
      <w:r>
        <w:rPr>
          <w:rFonts w:ascii="Arial" w:hAnsi="Arial" w:cs="Arial"/>
        </w:rPr>
        <w:br w:type="page"/>
      </w:r>
    </w:p>
    <w:p w14:paraId="794F9D0D" w14:textId="6DC87113" w:rsidR="00A87F1B" w:rsidRDefault="00A03763" w:rsidP="00E861C8">
      <w:pPr>
        <w:spacing w:after="0" w:line="480" w:lineRule="auto"/>
        <w:rPr>
          <w:rFonts w:ascii="Arial" w:hAnsi="Arial" w:cs="Arial"/>
        </w:rPr>
      </w:pPr>
      <w:r>
        <w:rPr>
          <w:rFonts w:ascii="Arial" w:hAnsi="Arial" w:cs="Arial"/>
          <w:b/>
          <w:bCs/>
        </w:rPr>
        <w:lastRenderedPageBreak/>
        <w:t>Abstract:</w:t>
      </w:r>
      <w:r w:rsidR="00366196">
        <w:rPr>
          <w:rFonts w:ascii="Arial" w:hAnsi="Arial" w:cs="Arial"/>
          <w:b/>
          <w:bCs/>
        </w:rPr>
        <w:t xml:space="preserve"> </w:t>
      </w:r>
    </w:p>
    <w:p w14:paraId="3900C7B3" w14:textId="76E1BC22" w:rsidR="00A03763" w:rsidRDefault="00A16D8D" w:rsidP="00E861C8">
      <w:pPr>
        <w:spacing w:line="480" w:lineRule="auto"/>
        <w:rPr>
          <w:rFonts w:ascii="Arial" w:hAnsi="Arial" w:cs="Arial"/>
        </w:rPr>
      </w:pPr>
      <w:r>
        <w:rPr>
          <w:rFonts w:ascii="Arial" w:hAnsi="Arial" w:cs="Arial"/>
        </w:rPr>
        <w:t>Although o</w:t>
      </w:r>
      <w:r w:rsidR="00BA2C89">
        <w:rPr>
          <w:rFonts w:ascii="Arial" w:hAnsi="Arial" w:cs="Arial"/>
        </w:rPr>
        <w:t xml:space="preserve">steomyelitis is a </w:t>
      </w:r>
      <w:r w:rsidR="00170E73">
        <w:rPr>
          <w:rFonts w:ascii="Arial" w:hAnsi="Arial" w:cs="Arial"/>
        </w:rPr>
        <w:t>severe</w:t>
      </w:r>
      <w:r w:rsidR="00BA2C89">
        <w:rPr>
          <w:rFonts w:ascii="Arial" w:hAnsi="Arial" w:cs="Arial"/>
        </w:rPr>
        <w:t xml:space="preserve"> </w:t>
      </w:r>
      <w:r w:rsidR="000E71CE">
        <w:rPr>
          <w:rFonts w:ascii="Arial" w:hAnsi="Arial" w:cs="Arial"/>
        </w:rPr>
        <w:t>bone infection</w:t>
      </w:r>
      <w:r w:rsidR="0068545D">
        <w:rPr>
          <w:rFonts w:ascii="Arial" w:hAnsi="Arial" w:cs="Arial"/>
        </w:rPr>
        <w:t xml:space="preserve">, </w:t>
      </w:r>
      <w:r w:rsidR="00EC4921">
        <w:rPr>
          <w:rFonts w:ascii="Arial" w:hAnsi="Arial" w:cs="Arial"/>
        </w:rPr>
        <w:t>nationwide trends in its mortality are poorly understood</w:t>
      </w:r>
      <w:r w:rsidR="000E71CE">
        <w:rPr>
          <w:rFonts w:ascii="Arial" w:hAnsi="Arial" w:cs="Arial"/>
        </w:rPr>
        <w:t xml:space="preserve">. </w:t>
      </w:r>
      <w:r w:rsidR="006B1F72">
        <w:rPr>
          <w:rFonts w:ascii="Arial" w:hAnsi="Arial" w:cs="Arial"/>
        </w:rPr>
        <w:t xml:space="preserve"> </w:t>
      </w:r>
      <w:r w:rsidR="00A03763">
        <w:rPr>
          <w:rFonts w:ascii="Arial" w:hAnsi="Arial" w:cs="Arial"/>
        </w:rPr>
        <w:br w:type="page"/>
      </w:r>
    </w:p>
    <w:p w14:paraId="290018D3" w14:textId="6C9F88FB" w:rsidR="001A2A11" w:rsidRDefault="00A03763" w:rsidP="00E861C8">
      <w:pPr>
        <w:spacing w:after="0" w:line="480" w:lineRule="auto"/>
        <w:rPr>
          <w:rFonts w:ascii="Arial" w:hAnsi="Arial" w:cs="Arial"/>
          <w:b/>
          <w:bCs/>
        </w:rPr>
      </w:pPr>
      <w:commentRangeStart w:id="0"/>
      <w:commentRangeStart w:id="1"/>
      <w:r>
        <w:rPr>
          <w:rFonts w:ascii="Arial" w:hAnsi="Arial" w:cs="Arial"/>
          <w:b/>
          <w:bCs/>
        </w:rPr>
        <w:lastRenderedPageBreak/>
        <w:t>Main Body:</w:t>
      </w:r>
      <w:commentRangeEnd w:id="0"/>
      <w:r w:rsidR="001E0E37">
        <w:rPr>
          <w:rStyle w:val="CommentReference"/>
        </w:rPr>
        <w:commentReference w:id="0"/>
      </w:r>
      <w:commentRangeEnd w:id="1"/>
      <w:r w:rsidR="001E0E37">
        <w:rPr>
          <w:rStyle w:val="CommentReference"/>
        </w:rPr>
        <w:commentReference w:id="1"/>
      </w:r>
    </w:p>
    <w:p w14:paraId="151E5DD1" w14:textId="77777777" w:rsidR="00FD6D98" w:rsidRDefault="00EA02EA" w:rsidP="00E861C8">
      <w:pPr>
        <w:spacing w:line="480" w:lineRule="auto"/>
        <w:rPr>
          <w:rFonts w:ascii="Arial" w:hAnsi="Arial" w:cs="Arial"/>
        </w:rPr>
      </w:pPr>
      <w:r>
        <w:rPr>
          <w:rFonts w:ascii="Arial" w:hAnsi="Arial" w:cs="Arial"/>
        </w:rPr>
        <w:tab/>
        <w:t>Osteomyelitis is a</w:t>
      </w:r>
      <w:r w:rsidR="00E861C8">
        <w:rPr>
          <w:rFonts w:ascii="Arial" w:hAnsi="Arial" w:cs="Arial"/>
        </w:rPr>
        <w:t>n infection of the bone and bone marrow that can result in se</w:t>
      </w:r>
      <w:r w:rsidR="00DA2CE3">
        <w:rPr>
          <w:rFonts w:ascii="Arial" w:hAnsi="Arial" w:cs="Arial"/>
        </w:rPr>
        <w:t xml:space="preserve">vere complications </w:t>
      </w:r>
      <w:r w:rsidR="00EF77B8">
        <w:rPr>
          <w:rFonts w:ascii="Arial" w:hAnsi="Arial" w:cs="Arial"/>
        </w:rPr>
        <w:t xml:space="preserve">including </w:t>
      </w:r>
      <w:r w:rsidR="00C22C0D">
        <w:rPr>
          <w:rFonts w:ascii="Arial" w:hAnsi="Arial" w:cs="Arial"/>
        </w:rPr>
        <w:t xml:space="preserve">bone necrosis, </w:t>
      </w:r>
      <w:r w:rsidR="00CD2740">
        <w:rPr>
          <w:rFonts w:ascii="Arial" w:hAnsi="Arial" w:cs="Arial"/>
        </w:rPr>
        <w:t xml:space="preserve">septic arthritis, </w:t>
      </w:r>
      <w:r w:rsidR="002A1E45">
        <w:rPr>
          <w:rFonts w:ascii="Arial" w:hAnsi="Arial" w:cs="Arial"/>
        </w:rPr>
        <w:t>amputation, and death.</w:t>
      </w:r>
      <w:r w:rsidR="00A67105">
        <w:rPr>
          <w:rFonts w:ascii="Arial" w:hAnsi="Arial" w:cs="Arial"/>
        </w:rPr>
        <w:fldChar w:fldCharType="begin"/>
      </w:r>
      <w:r w:rsidR="00A67105">
        <w:rPr>
          <w:rFonts w:ascii="Arial" w:hAnsi="Arial" w:cs="Arial"/>
        </w:rPr>
        <w:instrText xml:space="preserve"> ADDIN ZOTERO_ITEM CSL_CITATION {"citationID":"tohPb9XQ","properties":{"formattedCitation":"\\super 1,2\\nosupersub{}","plainCitation":"1,2","noteIndex":0},"citationItems":[{"id":5589,"uris":["http://zotero.org/groups/5952805/items/JVWCQKQV"],"itemData":{"id":5589,"type":"article-journal","abstract":"Osteomyelitis is an inflammatory condition of bone secondary to an infectious process. Osteomyelitis is usually clinically diagnosed with support from imaging and laboratory findings. Bone biopsy and microbial cultures offer definitive diagnosis. Plain film radiography should be performed as initial imaging, but sensitivity is low in the early stages of disease. Magnetic resonance imaging with and without contrast media has a higher sensitivity for identifying areas of bone necrosis in later stages. Staging based on major and minor risk factors can help stratify patients for surgical treatment. Antibiotics are the primary treatment option and should be tailored based on culture results and individual patient factors. Surgical bony debridement is often needed, and further surgical intervention may be warranted in high-risk patients or those with extensive disease. Diabetes mellitus and cardiovascular disease increase the overall risk of acute and chronic osteomyelitis.","container-title":"American Family Physician","ISSN":"1532-0650","issue":"4","journalAbbreviation":"Am Fam Physician","language":"eng","note":"PMID: 34652112","page":"395-402","source":"PubMed","title":"Osteomyelitis: Diagnosis and Treatment","title-short":"Osteomyelitis","volume":"104","author":[{"family":"Bury","given":"David C."},{"family":"Rogers","given":"Tyler S."},{"family":"Dickman","given":"Michael M."}],"issued":{"date-parts":[["2021",10,1]]}}},{"id":5600,"uris":["http://zotero.org/groups/5952805/items/8VVE7AEI"],"itemData":{"id":5600,"type":"article-journal","abstract":"Background: Treatment of large segmental defects in skeletal long bones is challenging. Heterogeneity in patient presentation further increase the di</w:instrText>
      </w:r>
      <w:r w:rsidR="00A67105">
        <w:rPr>
          <w:rFonts w:ascii="Cambria Math" w:hAnsi="Cambria Math" w:cs="Cambria Math"/>
        </w:rPr>
        <w:instrText>ﬃ</w:instrText>
      </w:r>
      <w:r w:rsidR="00A67105">
        <w:rPr>
          <w:rFonts w:ascii="Arial" w:hAnsi="Arial" w:cs="Arial"/>
        </w:rPr>
        <w:instrText xml:space="preserve">culty in designing and running randomized trials, hence the paucity of published data with large patient numbers. This study was designed to help understand patient presentation, costs and outcomes, using real world data sources.\nMethods: Two data sources (Premier healthcare database (PHD) and IBM® MarketScan® Commercial Claims and Medicaid databases) were utilized, PHD for intraoperative and cost analyses, MarketScan for payer costs and longitudinal (2-year) outcomes. Patients were included in the analysis if they had diagnoses of osteomyelitis, non-union or open (acute) fractures, treated with bone graft and/or spacers, using either the Masquelet or external frames. Patient cohorts were deﬁned by diagnosis at index (acute fracture, osteomyelitis, non-union) and descriptive statistics were conducted for patient variables (demographic, comorbidities) and outcomes. Risk of complications were estimated using logistic regression models. Hospital and payer costs for index and follow-up periods, were estimated using least means square estimators from generalized linear model outputs. All costs and payments were adjusted for inﬂation to 2019 consumer price-index.\nResults: 904 patients were identiﬁed in PHD (414 fractures, 388 osteomyelitis and 102 nonunion patients). Main comorbidities at time of initial surgery were hypertension (32.7%) followed by obesity (22.1%), diabetes with complications (20.9%) and chronic pulmonary disease (20.6%). Signiﬁcant variability in surgical operating room time and length of stay were observed, with averages of 484.7 minutes and 11.7 days, respectively. Two-year postoperative infection rates ranged from 33.1% - 58.5%, the highest infection rates being reﬂective of ongoing infections in patients initially treated for osteomyelitis. Amputation rates ranged from 10.0% in patients with bone loss due to acute factures to 14.5% in patients with osteomyelitis. Osteomyelitis patients were also the costliest, with 12-months hospital costs averaging US$ 156.818 (95%CI: 112,970-217,685).\nConclusion: This study identiﬁed high complication rates and costs of segmental bone repair surgery. All patients with segmental bone defects had high costs and risks but patients with osteomyelitis were at signiﬁcant risk for increased cost and complications, including amputation. Medical innovation is particularly important for this high-risk patient group.","container-title":"Injury","DOI":"10.1016/j.injury.2021.01.016","ISSN":"00201383","issue":"10","journalAbbreviation":"Injury","language":"en","page":"2935-2940","source":"DOI.org (Crossref)","title":"Treatments, cost and healthcare utilization of patients with segmental bone defects","volume":"52","author":[{"family":"Norris","given":"Brent L."},{"family":"Vanderkarr","given":"Mollie"},{"family":"Sparks","given":"Charisse"},{"family":"Chitnis","given":"Abhishek S."},{"family":"Ray","given":"Bidusee"},{"family":"Holy","given":"Chantal E."}],"issued":{"date-parts":[["2021",10]]}}}],"schema":"https://github.com/citation-style-language/schema/raw/master/csl-citation.json"} </w:instrText>
      </w:r>
      <w:r w:rsidR="00A67105">
        <w:rPr>
          <w:rFonts w:ascii="Arial" w:hAnsi="Arial" w:cs="Arial"/>
        </w:rPr>
        <w:fldChar w:fldCharType="separate"/>
      </w:r>
      <w:r w:rsidR="00A67105" w:rsidRPr="00A67105">
        <w:rPr>
          <w:rFonts w:ascii="Arial" w:hAnsi="Arial" w:cs="Arial"/>
          <w:kern w:val="0"/>
          <w:vertAlign w:val="superscript"/>
        </w:rPr>
        <w:t>1,2</w:t>
      </w:r>
      <w:r w:rsidR="00A67105">
        <w:rPr>
          <w:rFonts w:ascii="Arial" w:hAnsi="Arial" w:cs="Arial"/>
        </w:rPr>
        <w:fldChar w:fldCharType="end"/>
      </w:r>
      <w:r w:rsidR="00A67105">
        <w:rPr>
          <w:rFonts w:ascii="Arial" w:hAnsi="Arial" w:cs="Arial"/>
        </w:rPr>
        <w:t xml:space="preserve"> </w:t>
      </w:r>
      <w:r w:rsidR="00341EA5">
        <w:rPr>
          <w:rFonts w:ascii="Arial" w:hAnsi="Arial" w:cs="Arial"/>
        </w:rPr>
        <w:t xml:space="preserve">With an estimated prevalence of 2-5 per 10,000, </w:t>
      </w:r>
      <w:r w:rsidR="00C06D86">
        <w:rPr>
          <w:rFonts w:ascii="Arial" w:hAnsi="Arial" w:cs="Arial"/>
        </w:rPr>
        <w:t xml:space="preserve">a figure that is rising, </w:t>
      </w:r>
      <w:r w:rsidR="0017474C">
        <w:rPr>
          <w:rFonts w:ascii="Arial" w:hAnsi="Arial" w:cs="Arial"/>
        </w:rPr>
        <w:t xml:space="preserve">it poses </w:t>
      </w:r>
      <w:r w:rsidR="00C945E8">
        <w:rPr>
          <w:rFonts w:ascii="Arial" w:hAnsi="Arial" w:cs="Arial"/>
        </w:rPr>
        <w:t xml:space="preserve">a growing </w:t>
      </w:r>
      <w:r w:rsidR="00577B3D">
        <w:rPr>
          <w:rFonts w:ascii="Arial" w:hAnsi="Arial" w:cs="Arial"/>
        </w:rPr>
        <w:t xml:space="preserve">clinical and public health concern in the United States, particularly </w:t>
      </w:r>
      <w:r w:rsidR="00911A05">
        <w:rPr>
          <w:rFonts w:ascii="Arial" w:hAnsi="Arial" w:cs="Arial"/>
        </w:rPr>
        <w:t>among older adults and individuals with common comorbidities such as diabetes.</w:t>
      </w:r>
      <w:r w:rsidR="00DE6EFD">
        <w:rPr>
          <w:rFonts w:ascii="Arial" w:hAnsi="Arial" w:cs="Arial"/>
        </w:rPr>
        <w:t xml:space="preserve"> </w:t>
      </w:r>
    </w:p>
    <w:p w14:paraId="76479ED9" w14:textId="7030ABE7" w:rsidR="0098392E" w:rsidRDefault="00FD6D98" w:rsidP="00E861C8">
      <w:pPr>
        <w:spacing w:line="480" w:lineRule="auto"/>
        <w:rPr>
          <w:rFonts w:ascii="Arial" w:hAnsi="Arial" w:cs="Arial"/>
        </w:rPr>
      </w:pPr>
      <w:r>
        <w:rPr>
          <w:rFonts w:ascii="Arial" w:hAnsi="Arial" w:cs="Arial"/>
        </w:rPr>
        <w:tab/>
        <w:t xml:space="preserve">The </w:t>
      </w:r>
      <w:r w:rsidR="00B31636">
        <w:rPr>
          <w:rFonts w:ascii="Arial" w:hAnsi="Arial" w:cs="Arial"/>
        </w:rPr>
        <w:t xml:space="preserve">CDC WONDER Underlying Cause of Death </w:t>
      </w:r>
      <w:r w:rsidR="007D3066">
        <w:rPr>
          <w:rFonts w:ascii="Arial" w:hAnsi="Arial" w:cs="Arial"/>
        </w:rPr>
        <w:t xml:space="preserve">database was queried for </w:t>
      </w:r>
      <w:r w:rsidR="009D7706">
        <w:rPr>
          <w:rFonts w:ascii="Arial" w:hAnsi="Arial" w:cs="Arial"/>
        </w:rPr>
        <w:t xml:space="preserve">all United States </w:t>
      </w:r>
      <w:r w:rsidR="003A3EC6">
        <w:rPr>
          <w:rFonts w:ascii="Arial" w:hAnsi="Arial" w:cs="Arial"/>
        </w:rPr>
        <w:t>resident deaths from osteomyelitis with any of the following International Classification of Diseases, 10</w:t>
      </w:r>
      <w:r w:rsidR="003A3EC6" w:rsidRPr="003A3EC6">
        <w:rPr>
          <w:rFonts w:ascii="Arial" w:hAnsi="Arial" w:cs="Arial"/>
          <w:vertAlign w:val="superscript"/>
        </w:rPr>
        <w:t>th</w:t>
      </w:r>
      <w:r w:rsidR="003A3EC6">
        <w:rPr>
          <w:rFonts w:ascii="Arial" w:hAnsi="Arial" w:cs="Arial"/>
        </w:rPr>
        <w:t xml:space="preserve"> Edition (ICD-10) codes appearing on the decedents’ death certificates: </w:t>
      </w:r>
      <w:r w:rsidR="00DA7105">
        <w:rPr>
          <w:rFonts w:ascii="Arial" w:hAnsi="Arial" w:cs="Arial"/>
        </w:rPr>
        <w:t xml:space="preserve">M46.2, </w:t>
      </w:r>
      <w:r w:rsidR="00522C37">
        <w:rPr>
          <w:rFonts w:ascii="Arial" w:hAnsi="Arial" w:cs="Arial"/>
        </w:rPr>
        <w:t xml:space="preserve">M46.3, </w:t>
      </w:r>
      <w:r w:rsidR="002E2695">
        <w:rPr>
          <w:rFonts w:ascii="Arial" w:hAnsi="Arial" w:cs="Arial"/>
        </w:rPr>
        <w:t xml:space="preserve">M46.4, </w:t>
      </w:r>
      <w:r w:rsidR="00F06C7D">
        <w:rPr>
          <w:rFonts w:ascii="Arial" w:hAnsi="Arial" w:cs="Arial"/>
        </w:rPr>
        <w:t>and M86</w:t>
      </w:r>
      <w:r w:rsidR="004A436F">
        <w:rPr>
          <w:rFonts w:ascii="Arial" w:hAnsi="Arial" w:cs="Arial"/>
        </w:rPr>
        <w:t xml:space="preserve">. </w:t>
      </w:r>
      <w:r w:rsidR="0050358D">
        <w:rPr>
          <w:rFonts w:ascii="Arial" w:hAnsi="Arial" w:cs="Arial"/>
        </w:rPr>
        <w:t xml:space="preserve">The CDC WONDER </w:t>
      </w:r>
      <w:r w:rsidR="00C439D1">
        <w:rPr>
          <w:rFonts w:ascii="Arial" w:hAnsi="Arial" w:cs="Arial"/>
        </w:rPr>
        <w:t xml:space="preserve">Multiple Cause of Death database was also queried </w:t>
      </w:r>
      <w:r w:rsidR="003B2AC7">
        <w:rPr>
          <w:rFonts w:ascii="Arial" w:hAnsi="Arial" w:cs="Arial"/>
        </w:rPr>
        <w:t xml:space="preserve">for </w:t>
      </w:r>
      <w:r w:rsidR="00D70E13">
        <w:rPr>
          <w:rFonts w:ascii="Arial" w:hAnsi="Arial" w:cs="Arial"/>
        </w:rPr>
        <w:t xml:space="preserve">osteomyelitis-related comorbidities. </w:t>
      </w:r>
      <w:r w:rsidR="003372E3">
        <w:rPr>
          <w:rFonts w:ascii="Arial" w:hAnsi="Arial" w:cs="Arial"/>
        </w:rPr>
        <w:t xml:space="preserve">Age-adjusted </w:t>
      </w:r>
      <w:r w:rsidR="003059F8">
        <w:rPr>
          <w:rFonts w:ascii="Arial" w:hAnsi="Arial" w:cs="Arial"/>
        </w:rPr>
        <w:t xml:space="preserve">mortality rates (AAMRs) were calculated </w:t>
      </w:r>
      <w:r w:rsidR="0072586B">
        <w:rPr>
          <w:rFonts w:ascii="Arial" w:hAnsi="Arial" w:cs="Arial"/>
        </w:rPr>
        <w:t xml:space="preserve">per 100,000 population </w:t>
      </w:r>
      <w:r w:rsidR="00A72867">
        <w:rPr>
          <w:rFonts w:ascii="Arial" w:hAnsi="Arial" w:cs="Arial"/>
        </w:rPr>
        <w:t xml:space="preserve">using the 2000 United States population. </w:t>
      </w:r>
      <w:r w:rsidR="00D05813">
        <w:rPr>
          <w:rFonts w:ascii="Arial" w:hAnsi="Arial" w:cs="Arial"/>
        </w:rPr>
        <w:t xml:space="preserve">Trends in AAMRs were modeled using log-linear regression </w:t>
      </w:r>
      <w:r w:rsidR="0038435A">
        <w:rPr>
          <w:rFonts w:ascii="Arial" w:hAnsi="Arial" w:cs="Arial"/>
        </w:rPr>
        <w:t xml:space="preserve">to estimate </w:t>
      </w:r>
      <w:r w:rsidR="00F13AEE">
        <w:rPr>
          <w:rFonts w:ascii="Arial" w:hAnsi="Arial" w:cs="Arial"/>
        </w:rPr>
        <w:t xml:space="preserve">the annual percent changes (APCs). </w:t>
      </w:r>
      <w:r w:rsidR="00C6258D">
        <w:rPr>
          <w:rFonts w:ascii="Arial" w:hAnsi="Arial" w:cs="Arial"/>
        </w:rPr>
        <w:t xml:space="preserve">Additionally, trends were </w:t>
      </w:r>
      <w:r w:rsidR="008D1DEC">
        <w:rPr>
          <w:rFonts w:ascii="Arial" w:hAnsi="Arial" w:cs="Arial"/>
        </w:rPr>
        <w:t xml:space="preserve">stratified by demographics including sex, race/ethnicity, and age group, although </w:t>
      </w:r>
      <w:r w:rsidR="005B6B20">
        <w:rPr>
          <w:rFonts w:ascii="Arial" w:hAnsi="Arial" w:cs="Arial"/>
        </w:rPr>
        <w:t xml:space="preserve">crude </w:t>
      </w:r>
      <w:r w:rsidR="009C6238">
        <w:rPr>
          <w:rFonts w:ascii="Arial" w:hAnsi="Arial" w:cs="Arial"/>
        </w:rPr>
        <w:t xml:space="preserve">mortality rates were used for mortality for the latter because AAMRs could not be calculated for them. </w:t>
      </w:r>
      <w:r w:rsidR="009036A1">
        <w:rPr>
          <w:rFonts w:ascii="Arial" w:hAnsi="Arial" w:cs="Arial"/>
        </w:rPr>
        <w:t xml:space="preserve">Assessed comorbidities included </w:t>
      </w:r>
      <w:r w:rsidR="00CA0BBD">
        <w:rPr>
          <w:rFonts w:ascii="Arial" w:hAnsi="Arial" w:cs="Arial"/>
        </w:rPr>
        <w:t xml:space="preserve">diabetes (ICD-10: </w:t>
      </w:r>
      <w:r w:rsidR="00D762A0">
        <w:rPr>
          <w:rFonts w:ascii="Arial" w:hAnsi="Arial" w:cs="Arial"/>
        </w:rPr>
        <w:t>E11-E14),</w:t>
      </w:r>
      <w:r w:rsidR="00C73AD7">
        <w:rPr>
          <w:rFonts w:ascii="Arial" w:hAnsi="Arial" w:cs="Arial"/>
        </w:rPr>
        <w:t xml:space="preserve"> </w:t>
      </w:r>
      <w:r w:rsidR="007A5484">
        <w:rPr>
          <w:rFonts w:ascii="Arial" w:hAnsi="Arial" w:cs="Arial"/>
        </w:rPr>
        <w:t xml:space="preserve">peripheral vascular disease (ICD-10: </w:t>
      </w:r>
      <w:r w:rsidR="007C7F03">
        <w:rPr>
          <w:rFonts w:ascii="Arial" w:hAnsi="Arial" w:cs="Arial"/>
        </w:rPr>
        <w:t xml:space="preserve">I71), </w:t>
      </w:r>
      <w:r w:rsidR="00B3348D">
        <w:rPr>
          <w:rFonts w:ascii="Arial" w:hAnsi="Arial" w:cs="Arial"/>
        </w:rPr>
        <w:t xml:space="preserve">trauma (ICD-10: </w:t>
      </w:r>
      <w:r w:rsidR="007A35B0">
        <w:rPr>
          <w:rFonts w:ascii="Arial" w:hAnsi="Arial" w:cs="Arial"/>
        </w:rPr>
        <w:t xml:space="preserve">S00-S99, </w:t>
      </w:r>
      <w:r w:rsidR="00C73AD7">
        <w:rPr>
          <w:rFonts w:ascii="Arial" w:hAnsi="Arial" w:cs="Arial"/>
        </w:rPr>
        <w:t xml:space="preserve">T00-T14, and T79), </w:t>
      </w:r>
      <w:r w:rsidR="0055342C">
        <w:rPr>
          <w:rFonts w:ascii="Arial" w:hAnsi="Arial" w:cs="Arial"/>
        </w:rPr>
        <w:t xml:space="preserve">decubitus ulcers (ICD-10: </w:t>
      </w:r>
      <w:r w:rsidR="00831D00">
        <w:rPr>
          <w:rFonts w:ascii="Arial" w:hAnsi="Arial" w:cs="Arial"/>
        </w:rPr>
        <w:t xml:space="preserve">L89), and vertebral osteomyelitis itself </w:t>
      </w:r>
      <w:r w:rsidR="00B36ECB">
        <w:rPr>
          <w:rFonts w:ascii="Arial" w:hAnsi="Arial" w:cs="Arial"/>
        </w:rPr>
        <w:t>(</w:t>
      </w:r>
      <w:r w:rsidR="004F2038">
        <w:rPr>
          <w:rFonts w:ascii="Arial" w:hAnsi="Arial" w:cs="Arial"/>
        </w:rPr>
        <w:t xml:space="preserve">ICD-10: M46.2-M46.4). </w:t>
      </w:r>
    </w:p>
    <w:p w14:paraId="3F570709" w14:textId="34A5E1E5" w:rsidR="001A2A11" w:rsidRPr="00411782" w:rsidRDefault="0098392E" w:rsidP="00E861C8">
      <w:pPr>
        <w:spacing w:line="480" w:lineRule="auto"/>
        <w:rPr>
          <w:rFonts w:ascii="Arial" w:hAnsi="Arial" w:cs="Arial"/>
        </w:rPr>
      </w:pPr>
      <w:r>
        <w:rPr>
          <w:rFonts w:ascii="Arial" w:hAnsi="Arial" w:cs="Arial"/>
        </w:rPr>
        <w:tab/>
      </w:r>
      <w:r w:rsidR="001A2A11">
        <w:rPr>
          <w:rFonts w:ascii="Arial" w:hAnsi="Arial" w:cs="Arial"/>
          <w:b/>
          <w:bCs/>
        </w:rPr>
        <w:br w:type="page"/>
      </w:r>
    </w:p>
    <w:p w14:paraId="7C65E8C3" w14:textId="7F357983" w:rsidR="00A03763" w:rsidRDefault="001A2A11" w:rsidP="00E861C8">
      <w:pPr>
        <w:spacing w:after="0" w:line="480" w:lineRule="auto"/>
        <w:rPr>
          <w:rFonts w:ascii="Arial" w:hAnsi="Arial" w:cs="Arial"/>
        </w:rPr>
      </w:pPr>
      <w:r>
        <w:rPr>
          <w:rFonts w:ascii="Arial" w:hAnsi="Arial" w:cs="Arial"/>
          <w:b/>
          <w:bCs/>
        </w:rPr>
        <w:lastRenderedPageBreak/>
        <w:t>References:</w:t>
      </w:r>
    </w:p>
    <w:p w14:paraId="70C6B548" w14:textId="12258BE3" w:rsidR="001A2A11" w:rsidRDefault="001A2A11" w:rsidP="00E861C8">
      <w:pPr>
        <w:spacing w:line="480" w:lineRule="auto"/>
        <w:rPr>
          <w:rFonts w:ascii="Arial" w:hAnsi="Arial" w:cs="Arial"/>
        </w:rPr>
      </w:pPr>
      <w:r>
        <w:rPr>
          <w:rFonts w:ascii="Arial" w:hAnsi="Arial" w:cs="Arial"/>
        </w:rPr>
        <w:br w:type="page"/>
      </w:r>
    </w:p>
    <w:p w14:paraId="45743930" w14:textId="4A73B205" w:rsidR="001A2A11" w:rsidRPr="001A2A11" w:rsidRDefault="001A2A11" w:rsidP="00CB01B5">
      <w:pPr>
        <w:spacing w:after="0" w:line="240" w:lineRule="auto"/>
        <w:rPr>
          <w:rFonts w:ascii="Arial" w:hAnsi="Arial" w:cs="Arial"/>
          <w:b/>
          <w:bCs/>
        </w:rPr>
      </w:pPr>
      <w:commentRangeStart w:id="2"/>
      <w:r>
        <w:rPr>
          <w:rFonts w:ascii="Arial" w:hAnsi="Arial" w:cs="Arial"/>
          <w:b/>
          <w:bCs/>
        </w:rPr>
        <w:lastRenderedPageBreak/>
        <w:t xml:space="preserve">Table 1. </w:t>
      </w:r>
      <w:commentRangeEnd w:id="2"/>
      <w:r w:rsidR="001E0E37">
        <w:rPr>
          <w:rStyle w:val="CommentReference"/>
        </w:rPr>
        <w:commentReference w:id="2"/>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 xml:space="preserve">mortality rates and </w:t>
      </w:r>
      <w:commentRangeStart w:id="3"/>
      <w:r w:rsidR="00CB01B5" w:rsidRPr="00CB01B5">
        <w:rPr>
          <w:rFonts w:ascii="Arial" w:hAnsi="Arial" w:cs="Arial"/>
          <w:b/>
          <w:bCs/>
        </w:rPr>
        <w:t xml:space="preserve">annual percent </w:t>
      </w:r>
      <w:commentRangeEnd w:id="3"/>
      <w:r w:rsidR="0040343C">
        <w:rPr>
          <w:rStyle w:val="CommentReference"/>
        </w:rPr>
        <w:commentReference w:id="3"/>
      </w:r>
      <w:r w:rsidR="00CB01B5" w:rsidRPr="00CB01B5">
        <w:rPr>
          <w:rFonts w:ascii="Arial" w:hAnsi="Arial" w:cs="Arial"/>
          <w:b/>
          <w:bCs/>
        </w:rPr>
        <w:t>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0" w:type="auto"/>
        <w:tblLook w:val="04A0" w:firstRow="1" w:lastRow="0" w:firstColumn="1" w:lastColumn="0" w:noHBand="0" w:noVBand="1"/>
      </w:tblPr>
      <w:tblGrid>
        <w:gridCol w:w="1870"/>
        <w:gridCol w:w="1504"/>
        <w:gridCol w:w="1505"/>
        <w:gridCol w:w="1487"/>
        <w:gridCol w:w="1487"/>
        <w:gridCol w:w="1497"/>
      </w:tblGrid>
      <w:tr w:rsidR="00CB01B5" w14:paraId="0CAA897C" w14:textId="77777777" w:rsidTr="00881CEC">
        <w:tc>
          <w:tcPr>
            <w:tcW w:w="1870" w:type="dxa"/>
          </w:tcPr>
          <w:p w14:paraId="51B07B1E" w14:textId="7A8AC440" w:rsidR="00CB01B5" w:rsidRPr="009B3AC7" w:rsidRDefault="009B3AC7" w:rsidP="00CB01B5">
            <w:pPr>
              <w:rPr>
                <w:rFonts w:ascii="Arial" w:hAnsi="Arial" w:cs="Arial"/>
                <w:b/>
                <w:bCs/>
              </w:rPr>
            </w:pPr>
            <w:r>
              <w:rPr>
                <w:rFonts w:ascii="Arial" w:hAnsi="Arial" w:cs="Arial"/>
                <w:b/>
                <w:bCs/>
              </w:rPr>
              <w:t>Group</w:t>
            </w:r>
          </w:p>
        </w:tc>
        <w:tc>
          <w:tcPr>
            <w:tcW w:w="1504" w:type="dxa"/>
          </w:tcPr>
          <w:p w14:paraId="7A700EB4" w14:textId="1C0DC881" w:rsidR="00CB01B5" w:rsidRPr="009B3AC7" w:rsidRDefault="009B3AC7" w:rsidP="00CB01B5">
            <w:pPr>
              <w:rPr>
                <w:rFonts w:ascii="Arial" w:hAnsi="Arial" w:cs="Arial"/>
                <w:b/>
                <w:bCs/>
              </w:rPr>
            </w:pPr>
            <w:r>
              <w:rPr>
                <w:rFonts w:ascii="Arial" w:hAnsi="Arial" w:cs="Arial"/>
                <w:b/>
                <w:bCs/>
              </w:rPr>
              <w:t>1999 AAMR</w:t>
            </w:r>
          </w:p>
        </w:tc>
        <w:tc>
          <w:tcPr>
            <w:tcW w:w="1505" w:type="dxa"/>
          </w:tcPr>
          <w:p w14:paraId="37F1034E" w14:textId="78846B17" w:rsidR="00CB01B5" w:rsidRPr="009B3AC7" w:rsidRDefault="009B3AC7" w:rsidP="00CB01B5">
            <w:pPr>
              <w:rPr>
                <w:rFonts w:ascii="Arial" w:hAnsi="Arial" w:cs="Arial"/>
                <w:b/>
                <w:bCs/>
              </w:rPr>
            </w:pPr>
            <w:r>
              <w:rPr>
                <w:rFonts w:ascii="Arial" w:hAnsi="Arial" w:cs="Arial"/>
                <w:b/>
                <w:bCs/>
              </w:rPr>
              <w:t>2020 AAMR</w:t>
            </w:r>
          </w:p>
        </w:tc>
        <w:tc>
          <w:tcPr>
            <w:tcW w:w="1487" w:type="dxa"/>
          </w:tcPr>
          <w:p w14:paraId="3418A12D" w14:textId="1C01F59F" w:rsidR="00CB01B5" w:rsidRPr="009B3AC7" w:rsidRDefault="009B3AC7" w:rsidP="00CB01B5">
            <w:pPr>
              <w:rPr>
                <w:rFonts w:ascii="Arial" w:hAnsi="Arial" w:cs="Arial"/>
                <w:b/>
                <w:bCs/>
              </w:rPr>
            </w:pPr>
            <w:r>
              <w:rPr>
                <w:rFonts w:ascii="Arial" w:hAnsi="Arial" w:cs="Arial"/>
                <w:b/>
                <w:bCs/>
              </w:rPr>
              <w:t>APC (%)</w:t>
            </w:r>
          </w:p>
        </w:tc>
        <w:tc>
          <w:tcPr>
            <w:tcW w:w="1487" w:type="dxa"/>
          </w:tcPr>
          <w:p w14:paraId="2FEC0D05" w14:textId="6CDED4AE" w:rsidR="00CB01B5" w:rsidRPr="009B3AC7" w:rsidRDefault="009B3AC7" w:rsidP="00CB01B5">
            <w:pPr>
              <w:rPr>
                <w:rFonts w:ascii="Arial" w:hAnsi="Arial" w:cs="Arial"/>
                <w:b/>
                <w:bCs/>
              </w:rPr>
            </w:pPr>
            <w:r>
              <w:rPr>
                <w:rFonts w:ascii="Arial" w:hAnsi="Arial" w:cs="Arial"/>
                <w:b/>
                <w:bCs/>
              </w:rPr>
              <w:t>APC (%) 95% CI</w:t>
            </w:r>
          </w:p>
        </w:tc>
        <w:tc>
          <w:tcPr>
            <w:tcW w:w="1497" w:type="dxa"/>
          </w:tcPr>
          <w:p w14:paraId="0DBC5236" w14:textId="10351022" w:rsidR="00CB01B5" w:rsidRPr="009B3AC7" w:rsidRDefault="009B3AC7" w:rsidP="00CB01B5">
            <w:pPr>
              <w:rPr>
                <w:rFonts w:ascii="Arial" w:hAnsi="Arial" w:cs="Arial"/>
                <w:b/>
                <w:bCs/>
              </w:rPr>
            </w:pPr>
            <w:r>
              <w:rPr>
                <w:rFonts w:ascii="Arial" w:hAnsi="Arial" w:cs="Arial"/>
                <w:b/>
                <w:bCs/>
              </w:rPr>
              <w:t>p-value</w:t>
            </w:r>
          </w:p>
        </w:tc>
      </w:tr>
      <w:tr w:rsidR="00CB01B5" w14:paraId="79731D4A" w14:textId="77777777" w:rsidTr="00881CEC">
        <w:tc>
          <w:tcPr>
            <w:tcW w:w="1870" w:type="dxa"/>
          </w:tcPr>
          <w:p w14:paraId="0568FF71" w14:textId="37929FD7" w:rsidR="00CB01B5" w:rsidRPr="00FB5E77" w:rsidRDefault="00FB5E77" w:rsidP="00CB01B5">
            <w:pPr>
              <w:rPr>
                <w:rFonts w:ascii="Arial" w:hAnsi="Arial" w:cs="Arial"/>
                <w:b/>
                <w:bCs/>
              </w:rPr>
            </w:pPr>
            <w:r>
              <w:rPr>
                <w:rFonts w:ascii="Arial" w:hAnsi="Arial" w:cs="Arial"/>
                <w:b/>
                <w:bCs/>
              </w:rPr>
              <w:t>Overall</w:t>
            </w:r>
          </w:p>
        </w:tc>
        <w:tc>
          <w:tcPr>
            <w:tcW w:w="1504" w:type="dxa"/>
          </w:tcPr>
          <w:p w14:paraId="281C37AB" w14:textId="3FD93586" w:rsidR="00CB01B5" w:rsidRDefault="001517B1" w:rsidP="00CB01B5">
            <w:pPr>
              <w:rPr>
                <w:rFonts w:ascii="Arial" w:hAnsi="Arial" w:cs="Arial"/>
              </w:rPr>
            </w:pPr>
            <w:r>
              <w:rPr>
                <w:rFonts w:ascii="Arial" w:hAnsi="Arial" w:cs="Arial"/>
              </w:rPr>
              <w:t>0.38</w:t>
            </w:r>
          </w:p>
        </w:tc>
        <w:tc>
          <w:tcPr>
            <w:tcW w:w="1505" w:type="dxa"/>
          </w:tcPr>
          <w:p w14:paraId="5D9055A3" w14:textId="4A8D4508" w:rsidR="00CB01B5" w:rsidRDefault="001517B1" w:rsidP="00CB01B5">
            <w:pPr>
              <w:rPr>
                <w:rFonts w:ascii="Arial" w:hAnsi="Arial" w:cs="Arial"/>
              </w:rPr>
            </w:pPr>
            <w:r>
              <w:rPr>
                <w:rFonts w:ascii="Arial" w:hAnsi="Arial" w:cs="Arial"/>
              </w:rPr>
              <w:t>0.87</w:t>
            </w:r>
          </w:p>
        </w:tc>
        <w:tc>
          <w:tcPr>
            <w:tcW w:w="1487" w:type="dxa"/>
          </w:tcPr>
          <w:p w14:paraId="0532491A" w14:textId="66DF26D8" w:rsidR="00CB01B5" w:rsidRDefault="007549DC" w:rsidP="00CB01B5">
            <w:pPr>
              <w:rPr>
                <w:rFonts w:ascii="Arial" w:hAnsi="Arial" w:cs="Arial"/>
              </w:rPr>
            </w:pPr>
            <w:r>
              <w:rPr>
                <w:rFonts w:ascii="Arial" w:hAnsi="Arial" w:cs="Arial"/>
              </w:rPr>
              <w:t>2.63</w:t>
            </w:r>
          </w:p>
        </w:tc>
        <w:tc>
          <w:tcPr>
            <w:tcW w:w="1487" w:type="dxa"/>
          </w:tcPr>
          <w:p w14:paraId="752B19B9" w14:textId="0D086A50" w:rsidR="00CB01B5" w:rsidRDefault="007549DC" w:rsidP="00CB01B5">
            <w:pPr>
              <w:rPr>
                <w:rFonts w:ascii="Arial" w:hAnsi="Arial" w:cs="Arial"/>
              </w:rPr>
            </w:pPr>
            <w:r>
              <w:rPr>
                <w:rFonts w:ascii="Arial" w:hAnsi="Arial" w:cs="Arial"/>
              </w:rPr>
              <w:t>1.99, 3.28</w:t>
            </w:r>
          </w:p>
        </w:tc>
        <w:tc>
          <w:tcPr>
            <w:tcW w:w="1497" w:type="dxa"/>
          </w:tcPr>
          <w:p w14:paraId="1186BFA7" w14:textId="1F7BF46D" w:rsidR="00CB01B5" w:rsidRPr="00AA06B9" w:rsidRDefault="002A617F" w:rsidP="00CB01B5">
            <w:pPr>
              <w:rPr>
                <w:rFonts w:ascii="Arial" w:hAnsi="Arial" w:cs="Arial"/>
                <w:b/>
                <w:bCs/>
              </w:rPr>
            </w:pPr>
            <w:r w:rsidRPr="00AA06B9">
              <w:rPr>
                <w:rFonts w:ascii="Arial" w:hAnsi="Arial" w:cs="Arial"/>
                <w:b/>
                <w:bCs/>
              </w:rPr>
              <w:t>&lt;0.001</w:t>
            </w:r>
          </w:p>
        </w:tc>
      </w:tr>
      <w:tr w:rsidR="00EA439C" w14:paraId="2A7052B9" w14:textId="77777777" w:rsidTr="008C28BB">
        <w:tc>
          <w:tcPr>
            <w:tcW w:w="9350" w:type="dxa"/>
            <w:gridSpan w:val="6"/>
          </w:tcPr>
          <w:p w14:paraId="2993E977" w14:textId="27052559" w:rsidR="00EA439C" w:rsidRPr="00AA06B9" w:rsidRDefault="00EA439C" w:rsidP="00CB01B5">
            <w:pPr>
              <w:rPr>
                <w:rFonts w:ascii="Arial" w:hAnsi="Arial" w:cs="Arial"/>
                <w:b/>
                <w:bCs/>
              </w:rPr>
            </w:pPr>
            <w:r w:rsidRPr="00AA06B9">
              <w:rPr>
                <w:rFonts w:ascii="Arial" w:hAnsi="Arial" w:cs="Arial"/>
                <w:b/>
                <w:bCs/>
              </w:rPr>
              <w:t>Sex</w:t>
            </w:r>
          </w:p>
        </w:tc>
      </w:tr>
      <w:tr w:rsidR="00CB01B5" w14:paraId="22FE7845" w14:textId="77777777" w:rsidTr="00881CEC">
        <w:tc>
          <w:tcPr>
            <w:tcW w:w="1870" w:type="dxa"/>
          </w:tcPr>
          <w:p w14:paraId="32224A8A" w14:textId="1949CBC6" w:rsidR="00CB01B5" w:rsidRPr="00881CEC" w:rsidRDefault="00881CEC" w:rsidP="00CB01B5">
            <w:pPr>
              <w:rPr>
                <w:rFonts w:ascii="Arial" w:hAnsi="Arial" w:cs="Arial"/>
                <w:i/>
                <w:iCs/>
              </w:rPr>
            </w:pPr>
            <w:r>
              <w:rPr>
                <w:rFonts w:ascii="Arial" w:hAnsi="Arial" w:cs="Arial"/>
                <w:i/>
                <w:iCs/>
              </w:rPr>
              <w:t>Male</w:t>
            </w:r>
          </w:p>
        </w:tc>
        <w:tc>
          <w:tcPr>
            <w:tcW w:w="1504" w:type="dxa"/>
          </w:tcPr>
          <w:p w14:paraId="689266F9" w14:textId="0D84F29C" w:rsidR="00CB01B5" w:rsidRDefault="006C3C16" w:rsidP="00CB01B5">
            <w:pPr>
              <w:rPr>
                <w:rFonts w:ascii="Arial" w:hAnsi="Arial" w:cs="Arial"/>
              </w:rPr>
            </w:pPr>
            <w:r>
              <w:rPr>
                <w:rFonts w:ascii="Arial" w:hAnsi="Arial" w:cs="Arial"/>
              </w:rPr>
              <w:t>0.47</w:t>
            </w:r>
          </w:p>
        </w:tc>
        <w:tc>
          <w:tcPr>
            <w:tcW w:w="1505" w:type="dxa"/>
          </w:tcPr>
          <w:p w14:paraId="53854C4D" w14:textId="4D6CBE11" w:rsidR="00CB01B5" w:rsidRDefault="006C3C16" w:rsidP="00CB01B5">
            <w:pPr>
              <w:rPr>
                <w:rFonts w:ascii="Arial" w:hAnsi="Arial" w:cs="Arial"/>
              </w:rPr>
            </w:pPr>
            <w:r>
              <w:rPr>
                <w:rFonts w:ascii="Arial" w:hAnsi="Arial" w:cs="Arial"/>
              </w:rPr>
              <w:t>1.14</w:t>
            </w:r>
          </w:p>
        </w:tc>
        <w:tc>
          <w:tcPr>
            <w:tcW w:w="1487" w:type="dxa"/>
          </w:tcPr>
          <w:p w14:paraId="3BCD0AC0" w14:textId="0570EF4C" w:rsidR="00CB01B5" w:rsidRDefault="00657A4E" w:rsidP="00CB01B5">
            <w:pPr>
              <w:rPr>
                <w:rFonts w:ascii="Arial" w:hAnsi="Arial" w:cs="Arial"/>
              </w:rPr>
            </w:pPr>
            <w:r>
              <w:rPr>
                <w:rFonts w:ascii="Arial" w:hAnsi="Arial" w:cs="Arial"/>
              </w:rPr>
              <w:t>3.1</w:t>
            </w:r>
          </w:p>
        </w:tc>
        <w:tc>
          <w:tcPr>
            <w:tcW w:w="1487" w:type="dxa"/>
          </w:tcPr>
          <w:p w14:paraId="44224D5A" w14:textId="7E40362E" w:rsidR="00CB01B5" w:rsidRDefault="00657A4E" w:rsidP="00CB01B5">
            <w:pPr>
              <w:rPr>
                <w:rFonts w:ascii="Arial" w:hAnsi="Arial" w:cs="Arial"/>
              </w:rPr>
            </w:pPr>
            <w:r>
              <w:rPr>
                <w:rFonts w:ascii="Arial" w:hAnsi="Arial" w:cs="Arial"/>
              </w:rPr>
              <w:t>2.51, 3.7</w:t>
            </w:r>
          </w:p>
        </w:tc>
        <w:tc>
          <w:tcPr>
            <w:tcW w:w="1497" w:type="dxa"/>
          </w:tcPr>
          <w:p w14:paraId="72FE5B38" w14:textId="24C1C076" w:rsidR="00CB01B5" w:rsidRPr="00AA06B9" w:rsidRDefault="00657A4E" w:rsidP="00CB01B5">
            <w:pPr>
              <w:rPr>
                <w:rFonts w:ascii="Arial" w:hAnsi="Arial" w:cs="Arial"/>
                <w:b/>
                <w:bCs/>
              </w:rPr>
            </w:pPr>
            <w:r w:rsidRPr="00AA06B9">
              <w:rPr>
                <w:rFonts w:ascii="Arial" w:hAnsi="Arial" w:cs="Arial"/>
                <w:b/>
                <w:bCs/>
              </w:rPr>
              <w:t>&lt;0.001</w:t>
            </w:r>
          </w:p>
        </w:tc>
      </w:tr>
      <w:tr w:rsidR="00CB01B5" w14:paraId="69536A0B" w14:textId="77777777" w:rsidTr="00881CEC">
        <w:tc>
          <w:tcPr>
            <w:tcW w:w="1870" w:type="dxa"/>
          </w:tcPr>
          <w:p w14:paraId="1758AB63" w14:textId="5F8193F0" w:rsidR="00CB01B5" w:rsidRPr="00881CEC" w:rsidRDefault="00881CEC" w:rsidP="00CB01B5">
            <w:pPr>
              <w:rPr>
                <w:rFonts w:ascii="Arial" w:hAnsi="Arial" w:cs="Arial"/>
                <w:i/>
                <w:iCs/>
              </w:rPr>
            </w:pPr>
            <w:r>
              <w:rPr>
                <w:rFonts w:ascii="Arial" w:hAnsi="Arial" w:cs="Arial"/>
                <w:i/>
                <w:iCs/>
              </w:rPr>
              <w:t>Female</w:t>
            </w:r>
          </w:p>
        </w:tc>
        <w:tc>
          <w:tcPr>
            <w:tcW w:w="1504" w:type="dxa"/>
          </w:tcPr>
          <w:p w14:paraId="3FB3B0E8" w14:textId="23E3C877" w:rsidR="00CB01B5" w:rsidRDefault="006C3C16" w:rsidP="00CB01B5">
            <w:pPr>
              <w:rPr>
                <w:rFonts w:ascii="Arial" w:hAnsi="Arial" w:cs="Arial"/>
              </w:rPr>
            </w:pPr>
            <w:r>
              <w:rPr>
                <w:rFonts w:ascii="Arial" w:hAnsi="Arial" w:cs="Arial"/>
              </w:rPr>
              <w:t>0.33</w:t>
            </w:r>
          </w:p>
        </w:tc>
        <w:tc>
          <w:tcPr>
            <w:tcW w:w="1505" w:type="dxa"/>
          </w:tcPr>
          <w:p w14:paraId="6B969A1B" w14:textId="6DE3B87D" w:rsidR="00CB01B5" w:rsidRDefault="006C3C16" w:rsidP="00CB01B5">
            <w:pPr>
              <w:rPr>
                <w:rFonts w:ascii="Arial" w:hAnsi="Arial" w:cs="Arial"/>
              </w:rPr>
            </w:pPr>
            <w:r>
              <w:rPr>
                <w:rFonts w:ascii="Arial" w:hAnsi="Arial" w:cs="Arial"/>
              </w:rPr>
              <w:t>0.66</w:t>
            </w:r>
          </w:p>
        </w:tc>
        <w:tc>
          <w:tcPr>
            <w:tcW w:w="1487" w:type="dxa"/>
          </w:tcPr>
          <w:p w14:paraId="0BA2F83F" w14:textId="37BE594A" w:rsidR="00CB01B5" w:rsidRDefault="00657A4E" w:rsidP="00CB01B5">
            <w:pPr>
              <w:rPr>
                <w:rFonts w:ascii="Arial" w:hAnsi="Arial" w:cs="Arial"/>
              </w:rPr>
            </w:pPr>
            <w:r>
              <w:rPr>
                <w:rFonts w:ascii="Arial" w:hAnsi="Arial" w:cs="Arial"/>
              </w:rPr>
              <w:t>2.13</w:t>
            </w:r>
          </w:p>
        </w:tc>
        <w:tc>
          <w:tcPr>
            <w:tcW w:w="1487" w:type="dxa"/>
          </w:tcPr>
          <w:p w14:paraId="061A34B9" w14:textId="0B7EA218" w:rsidR="00CB01B5" w:rsidRDefault="00657A4E" w:rsidP="00CB01B5">
            <w:pPr>
              <w:rPr>
                <w:rFonts w:ascii="Arial" w:hAnsi="Arial" w:cs="Arial"/>
              </w:rPr>
            </w:pPr>
            <w:r>
              <w:rPr>
                <w:rFonts w:ascii="Arial" w:hAnsi="Arial" w:cs="Arial"/>
              </w:rPr>
              <w:t>1.35, 2.91</w:t>
            </w:r>
          </w:p>
        </w:tc>
        <w:tc>
          <w:tcPr>
            <w:tcW w:w="1497" w:type="dxa"/>
          </w:tcPr>
          <w:p w14:paraId="36655AA6" w14:textId="19643497" w:rsidR="00CB01B5" w:rsidRPr="00AA06B9" w:rsidRDefault="00657A4E" w:rsidP="00CB01B5">
            <w:pPr>
              <w:rPr>
                <w:rFonts w:ascii="Arial" w:hAnsi="Arial" w:cs="Arial"/>
                <w:b/>
                <w:bCs/>
              </w:rPr>
            </w:pPr>
            <w:r w:rsidRPr="00AA06B9">
              <w:rPr>
                <w:rFonts w:ascii="Arial" w:hAnsi="Arial" w:cs="Arial"/>
                <w:b/>
                <w:bCs/>
              </w:rPr>
              <w:t>&lt;0.001</w:t>
            </w:r>
          </w:p>
        </w:tc>
      </w:tr>
      <w:tr w:rsidR="00EA439C" w14:paraId="05F08D99" w14:textId="77777777" w:rsidTr="00AD3607">
        <w:tc>
          <w:tcPr>
            <w:tcW w:w="9350" w:type="dxa"/>
            <w:gridSpan w:val="6"/>
          </w:tcPr>
          <w:p w14:paraId="71CAA388" w14:textId="5E983888" w:rsidR="00EA439C" w:rsidRPr="00AA06B9" w:rsidRDefault="00EA439C" w:rsidP="00CB01B5">
            <w:pPr>
              <w:rPr>
                <w:rFonts w:ascii="Arial" w:hAnsi="Arial" w:cs="Arial"/>
                <w:b/>
                <w:bCs/>
              </w:rPr>
            </w:pPr>
            <w:r w:rsidRPr="00AA06B9">
              <w:rPr>
                <w:rFonts w:ascii="Arial" w:hAnsi="Arial" w:cs="Arial"/>
                <w:b/>
                <w:bCs/>
              </w:rPr>
              <w:t>Race/Ethnicity</w:t>
            </w:r>
          </w:p>
        </w:tc>
      </w:tr>
      <w:tr w:rsidR="00CB01B5" w14:paraId="45C76A61" w14:textId="77777777" w:rsidTr="00881CEC">
        <w:tc>
          <w:tcPr>
            <w:tcW w:w="1870" w:type="dxa"/>
          </w:tcPr>
          <w:p w14:paraId="7874DD5A" w14:textId="7EDEAC58" w:rsidR="00CB01B5" w:rsidRPr="00DD3328" w:rsidRDefault="00DD3328" w:rsidP="00CB01B5">
            <w:pPr>
              <w:rPr>
                <w:rFonts w:ascii="Arial" w:hAnsi="Arial" w:cs="Arial"/>
                <w:i/>
                <w:iCs/>
              </w:rPr>
            </w:pPr>
            <w:r w:rsidRPr="00DD3328">
              <w:rPr>
                <w:rFonts w:ascii="Arial" w:hAnsi="Arial" w:cs="Arial"/>
                <w:i/>
                <w:iCs/>
              </w:rPr>
              <w:t>NH White</w:t>
            </w:r>
          </w:p>
        </w:tc>
        <w:tc>
          <w:tcPr>
            <w:tcW w:w="1504" w:type="dxa"/>
          </w:tcPr>
          <w:p w14:paraId="365CBD6E" w14:textId="36284873" w:rsidR="00CB01B5" w:rsidRDefault="00AF4602" w:rsidP="00CB01B5">
            <w:pPr>
              <w:rPr>
                <w:rFonts w:ascii="Arial" w:hAnsi="Arial" w:cs="Arial"/>
              </w:rPr>
            </w:pPr>
            <w:r>
              <w:rPr>
                <w:rFonts w:ascii="Arial" w:hAnsi="Arial" w:cs="Arial"/>
              </w:rPr>
              <w:t>0.35</w:t>
            </w:r>
          </w:p>
        </w:tc>
        <w:tc>
          <w:tcPr>
            <w:tcW w:w="1505" w:type="dxa"/>
          </w:tcPr>
          <w:p w14:paraId="1EDC08D8" w14:textId="7AA25FA5" w:rsidR="00CB01B5" w:rsidRDefault="00AF4602" w:rsidP="00CB01B5">
            <w:pPr>
              <w:rPr>
                <w:rFonts w:ascii="Arial" w:hAnsi="Arial" w:cs="Arial"/>
              </w:rPr>
            </w:pPr>
            <w:r>
              <w:rPr>
                <w:rFonts w:ascii="Arial" w:hAnsi="Arial" w:cs="Arial"/>
              </w:rPr>
              <w:t>0.82</w:t>
            </w:r>
          </w:p>
        </w:tc>
        <w:tc>
          <w:tcPr>
            <w:tcW w:w="1487" w:type="dxa"/>
          </w:tcPr>
          <w:p w14:paraId="7A4BFED0" w14:textId="14B2AA18" w:rsidR="00CB01B5" w:rsidRDefault="00DA4EEC" w:rsidP="00CB01B5">
            <w:pPr>
              <w:rPr>
                <w:rFonts w:ascii="Arial" w:hAnsi="Arial" w:cs="Arial"/>
              </w:rPr>
            </w:pPr>
            <w:r>
              <w:rPr>
                <w:rFonts w:ascii="Arial" w:hAnsi="Arial" w:cs="Arial"/>
              </w:rPr>
              <w:t>3.15</w:t>
            </w:r>
          </w:p>
        </w:tc>
        <w:tc>
          <w:tcPr>
            <w:tcW w:w="1487" w:type="dxa"/>
          </w:tcPr>
          <w:p w14:paraId="507B622E" w14:textId="174EEF8F" w:rsidR="00CB01B5" w:rsidRDefault="00DA4EEC" w:rsidP="00CB01B5">
            <w:pPr>
              <w:rPr>
                <w:rFonts w:ascii="Arial" w:hAnsi="Arial" w:cs="Arial"/>
              </w:rPr>
            </w:pPr>
            <w:r>
              <w:rPr>
                <w:rFonts w:ascii="Arial" w:hAnsi="Arial" w:cs="Arial"/>
              </w:rPr>
              <w:t>2.51, 3.79</w:t>
            </w:r>
          </w:p>
        </w:tc>
        <w:tc>
          <w:tcPr>
            <w:tcW w:w="1497" w:type="dxa"/>
          </w:tcPr>
          <w:p w14:paraId="287258DA" w14:textId="391DCF08" w:rsidR="00CB01B5" w:rsidRPr="00AA06B9" w:rsidRDefault="00DA4EEC" w:rsidP="00CB01B5">
            <w:pPr>
              <w:rPr>
                <w:rFonts w:ascii="Arial" w:hAnsi="Arial" w:cs="Arial"/>
                <w:b/>
                <w:bCs/>
              </w:rPr>
            </w:pPr>
            <w:r w:rsidRPr="00AA06B9">
              <w:rPr>
                <w:rFonts w:ascii="Arial" w:hAnsi="Arial" w:cs="Arial"/>
                <w:b/>
                <w:bCs/>
              </w:rPr>
              <w:t>&lt;0.001</w:t>
            </w:r>
          </w:p>
        </w:tc>
      </w:tr>
      <w:tr w:rsidR="00CB01B5" w14:paraId="1624044B" w14:textId="77777777" w:rsidTr="00881CEC">
        <w:tc>
          <w:tcPr>
            <w:tcW w:w="1870" w:type="dxa"/>
          </w:tcPr>
          <w:p w14:paraId="0E48D426" w14:textId="7835B381" w:rsidR="00CB01B5" w:rsidRPr="00DD3328" w:rsidRDefault="00DD3328" w:rsidP="00CB01B5">
            <w:pPr>
              <w:rPr>
                <w:rFonts w:ascii="Arial" w:hAnsi="Arial" w:cs="Arial"/>
                <w:i/>
                <w:iCs/>
              </w:rPr>
            </w:pPr>
            <w:r w:rsidRPr="00DD3328">
              <w:rPr>
                <w:rFonts w:ascii="Arial" w:hAnsi="Arial" w:cs="Arial"/>
                <w:i/>
                <w:iCs/>
              </w:rPr>
              <w:t>NH Black</w:t>
            </w:r>
          </w:p>
        </w:tc>
        <w:tc>
          <w:tcPr>
            <w:tcW w:w="1504" w:type="dxa"/>
          </w:tcPr>
          <w:p w14:paraId="1AFF5F2B" w14:textId="27C2AD69" w:rsidR="00CB01B5" w:rsidRDefault="00AF4602" w:rsidP="00CB01B5">
            <w:pPr>
              <w:rPr>
                <w:rFonts w:ascii="Arial" w:hAnsi="Arial" w:cs="Arial"/>
              </w:rPr>
            </w:pPr>
            <w:r>
              <w:rPr>
                <w:rFonts w:ascii="Arial" w:hAnsi="Arial" w:cs="Arial"/>
              </w:rPr>
              <w:t>0.76</w:t>
            </w:r>
          </w:p>
        </w:tc>
        <w:tc>
          <w:tcPr>
            <w:tcW w:w="1505" w:type="dxa"/>
          </w:tcPr>
          <w:p w14:paraId="51F2B249" w14:textId="60A08515" w:rsidR="00CB01B5" w:rsidRDefault="00AF4602" w:rsidP="00CB01B5">
            <w:pPr>
              <w:rPr>
                <w:rFonts w:ascii="Arial" w:hAnsi="Arial" w:cs="Arial"/>
              </w:rPr>
            </w:pPr>
            <w:r>
              <w:rPr>
                <w:rFonts w:ascii="Arial" w:hAnsi="Arial" w:cs="Arial"/>
              </w:rPr>
              <w:t>1.69</w:t>
            </w:r>
          </w:p>
        </w:tc>
        <w:tc>
          <w:tcPr>
            <w:tcW w:w="1487" w:type="dxa"/>
          </w:tcPr>
          <w:p w14:paraId="66AE872A" w14:textId="26B6ABA7" w:rsidR="00CB01B5" w:rsidRDefault="00DA4EEC" w:rsidP="00CB01B5">
            <w:pPr>
              <w:rPr>
                <w:rFonts w:ascii="Arial" w:hAnsi="Arial" w:cs="Arial"/>
              </w:rPr>
            </w:pPr>
            <w:r>
              <w:rPr>
                <w:rFonts w:ascii="Arial" w:hAnsi="Arial" w:cs="Arial"/>
              </w:rPr>
              <w:t>1.38</w:t>
            </w:r>
          </w:p>
        </w:tc>
        <w:tc>
          <w:tcPr>
            <w:tcW w:w="1487" w:type="dxa"/>
          </w:tcPr>
          <w:p w14:paraId="50843EA2" w14:textId="0435C2D6" w:rsidR="00CB01B5" w:rsidRDefault="00DA4EEC" w:rsidP="00CB01B5">
            <w:pPr>
              <w:rPr>
                <w:rFonts w:ascii="Arial" w:hAnsi="Arial" w:cs="Arial"/>
              </w:rPr>
            </w:pPr>
            <w:r>
              <w:rPr>
                <w:rFonts w:ascii="Arial" w:hAnsi="Arial" w:cs="Arial"/>
              </w:rPr>
              <w:t>0.25, 2.53</w:t>
            </w:r>
          </w:p>
        </w:tc>
        <w:tc>
          <w:tcPr>
            <w:tcW w:w="1497" w:type="dxa"/>
          </w:tcPr>
          <w:p w14:paraId="7C63A7A9" w14:textId="2CC84FD7" w:rsidR="00CB01B5" w:rsidRPr="00AA06B9" w:rsidRDefault="00DA4EEC" w:rsidP="00CB01B5">
            <w:pPr>
              <w:rPr>
                <w:rFonts w:ascii="Arial" w:hAnsi="Arial" w:cs="Arial"/>
                <w:b/>
                <w:bCs/>
              </w:rPr>
            </w:pPr>
            <w:r w:rsidRPr="00AA06B9">
              <w:rPr>
                <w:rFonts w:ascii="Arial" w:hAnsi="Arial" w:cs="Arial"/>
                <w:b/>
                <w:bCs/>
              </w:rPr>
              <w:t>0.02</w:t>
            </w:r>
          </w:p>
        </w:tc>
      </w:tr>
      <w:tr w:rsidR="00881CEC" w14:paraId="0FF89898" w14:textId="77777777" w:rsidTr="00881CEC">
        <w:tc>
          <w:tcPr>
            <w:tcW w:w="1870" w:type="dxa"/>
          </w:tcPr>
          <w:p w14:paraId="54532D2F" w14:textId="740302E5" w:rsidR="00881CEC" w:rsidRPr="00DD3328" w:rsidRDefault="00DD3328" w:rsidP="00CB01B5">
            <w:pPr>
              <w:rPr>
                <w:rFonts w:ascii="Arial" w:hAnsi="Arial" w:cs="Arial"/>
                <w:i/>
                <w:iCs/>
              </w:rPr>
            </w:pPr>
            <w:r w:rsidRPr="00DD3328">
              <w:rPr>
                <w:rFonts w:ascii="Arial" w:hAnsi="Arial" w:cs="Arial"/>
                <w:i/>
                <w:iCs/>
              </w:rPr>
              <w:t>Hispanic</w:t>
            </w:r>
          </w:p>
        </w:tc>
        <w:tc>
          <w:tcPr>
            <w:tcW w:w="1504" w:type="dxa"/>
          </w:tcPr>
          <w:p w14:paraId="15F9445C" w14:textId="58E17849" w:rsidR="00881CEC" w:rsidRDefault="00AF4602" w:rsidP="00CB01B5">
            <w:pPr>
              <w:rPr>
                <w:rFonts w:ascii="Arial" w:hAnsi="Arial" w:cs="Arial"/>
              </w:rPr>
            </w:pPr>
            <w:r>
              <w:rPr>
                <w:rFonts w:ascii="Arial" w:hAnsi="Arial" w:cs="Arial"/>
              </w:rPr>
              <w:t>0.3</w:t>
            </w:r>
          </w:p>
        </w:tc>
        <w:tc>
          <w:tcPr>
            <w:tcW w:w="1505" w:type="dxa"/>
          </w:tcPr>
          <w:p w14:paraId="16C0408F" w14:textId="54BFCEBC" w:rsidR="00881CEC" w:rsidRDefault="00AF4602" w:rsidP="00CB01B5">
            <w:pPr>
              <w:rPr>
                <w:rFonts w:ascii="Arial" w:hAnsi="Arial" w:cs="Arial"/>
              </w:rPr>
            </w:pPr>
            <w:r>
              <w:rPr>
                <w:rFonts w:ascii="Arial" w:hAnsi="Arial" w:cs="Arial"/>
              </w:rPr>
              <w:t>0.64</w:t>
            </w:r>
          </w:p>
        </w:tc>
        <w:tc>
          <w:tcPr>
            <w:tcW w:w="1487" w:type="dxa"/>
          </w:tcPr>
          <w:p w14:paraId="68797E32" w14:textId="33AA97AE" w:rsidR="00881CEC" w:rsidRDefault="00DA4EEC" w:rsidP="00CB01B5">
            <w:pPr>
              <w:rPr>
                <w:rFonts w:ascii="Arial" w:hAnsi="Arial" w:cs="Arial"/>
              </w:rPr>
            </w:pPr>
            <w:r>
              <w:rPr>
                <w:rFonts w:ascii="Arial" w:hAnsi="Arial" w:cs="Arial"/>
              </w:rPr>
              <w:t>1.52</w:t>
            </w:r>
          </w:p>
        </w:tc>
        <w:tc>
          <w:tcPr>
            <w:tcW w:w="1487" w:type="dxa"/>
          </w:tcPr>
          <w:p w14:paraId="17EB329C" w14:textId="641DA4EB" w:rsidR="00881CEC" w:rsidRDefault="00DA4EEC" w:rsidP="00CB01B5">
            <w:pPr>
              <w:rPr>
                <w:rFonts w:ascii="Arial" w:hAnsi="Arial" w:cs="Arial"/>
              </w:rPr>
            </w:pPr>
            <w:r>
              <w:rPr>
                <w:rFonts w:ascii="Arial" w:hAnsi="Arial" w:cs="Arial"/>
              </w:rPr>
              <w:t>0.63, 2.41</w:t>
            </w:r>
          </w:p>
        </w:tc>
        <w:tc>
          <w:tcPr>
            <w:tcW w:w="1497" w:type="dxa"/>
          </w:tcPr>
          <w:p w14:paraId="35015A79" w14:textId="306B3FF2" w:rsidR="00881CEC" w:rsidRPr="00AA06B9" w:rsidRDefault="00DA4EEC" w:rsidP="00CB01B5">
            <w:pPr>
              <w:rPr>
                <w:rFonts w:ascii="Arial" w:hAnsi="Arial" w:cs="Arial"/>
                <w:b/>
                <w:bCs/>
              </w:rPr>
            </w:pPr>
            <w:r w:rsidRPr="00AA06B9">
              <w:rPr>
                <w:rFonts w:ascii="Arial" w:hAnsi="Arial" w:cs="Arial"/>
                <w:b/>
                <w:bCs/>
              </w:rPr>
              <w:t>0.002</w:t>
            </w:r>
          </w:p>
        </w:tc>
      </w:tr>
      <w:tr w:rsidR="00881CEC" w14:paraId="7EA439E6" w14:textId="77777777" w:rsidTr="00881CEC">
        <w:tc>
          <w:tcPr>
            <w:tcW w:w="1870" w:type="dxa"/>
          </w:tcPr>
          <w:p w14:paraId="4F02C161" w14:textId="70D2DB0D" w:rsidR="00881CEC" w:rsidRPr="00DD3328" w:rsidRDefault="00DD3328" w:rsidP="00CB01B5">
            <w:pPr>
              <w:rPr>
                <w:rFonts w:ascii="Arial" w:hAnsi="Arial" w:cs="Arial"/>
                <w:i/>
                <w:iCs/>
              </w:rPr>
            </w:pPr>
            <w:r w:rsidRPr="00DD3328">
              <w:rPr>
                <w:rFonts w:ascii="Arial" w:hAnsi="Arial" w:cs="Arial"/>
                <w:i/>
                <w:iCs/>
              </w:rPr>
              <w:t>Asian or Pacific Islander</w:t>
            </w:r>
          </w:p>
        </w:tc>
        <w:tc>
          <w:tcPr>
            <w:tcW w:w="1504" w:type="dxa"/>
          </w:tcPr>
          <w:p w14:paraId="37C18EFD" w14:textId="6C78650F" w:rsidR="00881CEC" w:rsidRDefault="00AF4602" w:rsidP="00CB01B5">
            <w:pPr>
              <w:rPr>
                <w:rFonts w:ascii="Arial" w:hAnsi="Arial" w:cs="Arial"/>
              </w:rPr>
            </w:pPr>
            <w:r>
              <w:rPr>
                <w:rFonts w:ascii="Arial" w:hAnsi="Arial" w:cs="Arial"/>
              </w:rPr>
              <w:t>N/A</w:t>
            </w:r>
          </w:p>
        </w:tc>
        <w:tc>
          <w:tcPr>
            <w:tcW w:w="1505" w:type="dxa"/>
          </w:tcPr>
          <w:p w14:paraId="17975734" w14:textId="0C7EF4A3" w:rsidR="00881CEC" w:rsidRDefault="00AF4602" w:rsidP="00CB01B5">
            <w:pPr>
              <w:rPr>
                <w:rFonts w:ascii="Arial" w:hAnsi="Arial" w:cs="Arial"/>
              </w:rPr>
            </w:pPr>
            <w:r>
              <w:rPr>
                <w:rFonts w:ascii="Arial" w:hAnsi="Arial" w:cs="Arial"/>
              </w:rPr>
              <w:t>0.25</w:t>
            </w:r>
          </w:p>
        </w:tc>
        <w:tc>
          <w:tcPr>
            <w:tcW w:w="1487" w:type="dxa"/>
          </w:tcPr>
          <w:p w14:paraId="23F930D2" w14:textId="20EA9728" w:rsidR="00881CEC" w:rsidRDefault="00DA4EEC" w:rsidP="00CB01B5">
            <w:pPr>
              <w:rPr>
                <w:rFonts w:ascii="Arial" w:hAnsi="Arial" w:cs="Arial"/>
              </w:rPr>
            </w:pPr>
            <w:r>
              <w:rPr>
                <w:rFonts w:ascii="Arial" w:hAnsi="Arial" w:cs="Arial"/>
              </w:rPr>
              <w:t>2.52</w:t>
            </w:r>
          </w:p>
        </w:tc>
        <w:tc>
          <w:tcPr>
            <w:tcW w:w="1487" w:type="dxa"/>
          </w:tcPr>
          <w:p w14:paraId="29D2B458" w14:textId="38A9B580" w:rsidR="00881CEC" w:rsidRDefault="00DA4EEC" w:rsidP="00CB01B5">
            <w:pPr>
              <w:rPr>
                <w:rFonts w:ascii="Arial" w:hAnsi="Arial" w:cs="Arial"/>
              </w:rPr>
            </w:pPr>
            <w:r>
              <w:rPr>
                <w:rFonts w:ascii="Arial" w:hAnsi="Arial" w:cs="Arial"/>
              </w:rPr>
              <w:t>-1.09, 6.26</w:t>
            </w:r>
          </w:p>
        </w:tc>
        <w:tc>
          <w:tcPr>
            <w:tcW w:w="1497" w:type="dxa"/>
          </w:tcPr>
          <w:p w14:paraId="135D5576" w14:textId="16640421" w:rsidR="00881CEC" w:rsidRDefault="00DA4EEC" w:rsidP="00CB01B5">
            <w:pPr>
              <w:rPr>
                <w:rFonts w:ascii="Arial" w:hAnsi="Arial" w:cs="Arial"/>
              </w:rPr>
            </w:pPr>
            <w:r>
              <w:rPr>
                <w:rFonts w:ascii="Arial" w:hAnsi="Arial" w:cs="Arial"/>
              </w:rPr>
              <w:t>0.19</w:t>
            </w:r>
          </w:p>
        </w:tc>
      </w:tr>
      <w:tr w:rsidR="00881CEC" w14:paraId="471B96AF" w14:textId="77777777" w:rsidTr="00881CEC">
        <w:tc>
          <w:tcPr>
            <w:tcW w:w="1870" w:type="dxa"/>
          </w:tcPr>
          <w:p w14:paraId="7D4E28EF" w14:textId="4A49D81C" w:rsidR="00881CEC" w:rsidRPr="00DD3328" w:rsidRDefault="00DD3328" w:rsidP="00CB01B5">
            <w:pPr>
              <w:rPr>
                <w:rFonts w:ascii="Arial" w:hAnsi="Arial" w:cs="Arial"/>
                <w:i/>
                <w:iCs/>
              </w:rPr>
            </w:pPr>
            <w:r w:rsidRPr="00DD3328">
              <w:rPr>
                <w:rFonts w:ascii="Arial" w:hAnsi="Arial" w:cs="Arial"/>
                <w:i/>
                <w:iCs/>
              </w:rPr>
              <w:t>American Indian/Alaska Native</w:t>
            </w:r>
          </w:p>
        </w:tc>
        <w:tc>
          <w:tcPr>
            <w:tcW w:w="1504" w:type="dxa"/>
          </w:tcPr>
          <w:p w14:paraId="3A8546BF" w14:textId="1CF1F6EF" w:rsidR="00881CEC" w:rsidRDefault="00AF4602" w:rsidP="00CB01B5">
            <w:pPr>
              <w:rPr>
                <w:rFonts w:ascii="Arial" w:hAnsi="Arial" w:cs="Arial"/>
              </w:rPr>
            </w:pPr>
            <w:r>
              <w:rPr>
                <w:rFonts w:ascii="Arial" w:hAnsi="Arial" w:cs="Arial"/>
              </w:rPr>
              <w:t>N/A</w:t>
            </w:r>
          </w:p>
        </w:tc>
        <w:tc>
          <w:tcPr>
            <w:tcW w:w="1505" w:type="dxa"/>
          </w:tcPr>
          <w:p w14:paraId="25F7D2D9" w14:textId="437988A2" w:rsidR="00881CEC" w:rsidRDefault="00AF4602" w:rsidP="00CB01B5">
            <w:pPr>
              <w:rPr>
                <w:rFonts w:ascii="Arial" w:hAnsi="Arial" w:cs="Arial"/>
              </w:rPr>
            </w:pPr>
            <w:r>
              <w:rPr>
                <w:rFonts w:ascii="Arial" w:hAnsi="Arial" w:cs="Arial"/>
              </w:rPr>
              <w:t>1.32</w:t>
            </w:r>
          </w:p>
        </w:tc>
        <w:tc>
          <w:tcPr>
            <w:tcW w:w="1487" w:type="dxa"/>
          </w:tcPr>
          <w:p w14:paraId="2F6090EC" w14:textId="0D645665" w:rsidR="00881CEC" w:rsidRDefault="00DA4EEC" w:rsidP="00CB01B5">
            <w:pPr>
              <w:rPr>
                <w:rFonts w:ascii="Arial" w:hAnsi="Arial" w:cs="Arial"/>
              </w:rPr>
            </w:pPr>
            <w:r>
              <w:rPr>
                <w:rFonts w:ascii="Arial" w:hAnsi="Arial" w:cs="Arial"/>
              </w:rPr>
              <w:t>2.52</w:t>
            </w:r>
          </w:p>
        </w:tc>
        <w:tc>
          <w:tcPr>
            <w:tcW w:w="1487" w:type="dxa"/>
          </w:tcPr>
          <w:p w14:paraId="26A46928" w14:textId="75B1835F" w:rsidR="00881CEC" w:rsidRDefault="00DA4EEC" w:rsidP="00CB01B5">
            <w:pPr>
              <w:rPr>
                <w:rFonts w:ascii="Arial" w:hAnsi="Arial" w:cs="Arial"/>
              </w:rPr>
            </w:pPr>
            <w:r>
              <w:rPr>
                <w:rFonts w:ascii="Arial" w:hAnsi="Arial" w:cs="Arial"/>
              </w:rPr>
              <w:t>-1.89, 7.12</w:t>
            </w:r>
          </w:p>
        </w:tc>
        <w:tc>
          <w:tcPr>
            <w:tcW w:w="1497" w:type="dxa"/>
          </w:tcPr>
          <w:p w14:paraId="0C62D895" w14:textId="0C8D6124" w:rsidR="00881CEC" w:rsidRDefault="00DA4EEC" w:rsidP="00CB01B5">
            <w:pPr>
              <w:rPr>
                <w:rFonts w:ascii="Arial" w:hAnsi="Arial" w:cs="Arial"/>
              </w:rPr>
            </w:pPr>
            <w:r>
              <w:rPr>
                <w:rFonts w:ascii="Arial" w:hAnsi="Arial" w:cs="Arial"/>
              </w:rPr>
              <w:t>0.15</w:t>
            </w:r>
          </w:p>
        </w:tc>
      </w:tr>
      <w:tr w:rsidR="00EA439C" w14:paraId="1AEE91F1" w14:textId="77777777" w:rsidTr="001A3D40">
        <w:tc>
          <w:tcPr>
            <w:tcW w:w="9350" w:type="dxa"/>
            <w:gridSpan w:val="6"/>
          </w:tcPr>
          <w:p w14:paraId="59AE9DF4" w14:textId="02C035A3" w:rsidR="00EA439C" w:rsidRDefault="00EA439C" w:rsidP="00CB01B5">
            <w:pPr>
              <w:rPr>
                <w:rFonts w:ascii="Arial" w:hAnsi="Arial" w:cs="Arial"/>
              </w:rPr>
            </w:pPr>
            <w:r>
              <w:rPr>
                <w:rFonts w:ascii="Arial" w:hAnsi="Arial" w:cs="Arial"/>
                <w:b/>
                <w:bCs/>
              </w:rPr>
              <w:t>Age Group (years)</w:t>
            </w:r>
          </w:p>
        </w:tc>
      </w:tr>
      <w:tr w:rsidR="00881CEC" w14:paraId="439110D1" w14:textId="77777777" w:rsidTr="00881CEC">
        <w:tc>
          <w:tcPr>
            <w:tcW w:w="1870" w:type="dxa"/>
          </w:tcPr>
          <w:p w14:paraId="4D6182D2" w14:textId="55990867" w:rsidR="00881CEC" w:rsidRPr="00DD3328" w:rsidRDefault="00DD3328" w:rsidP="00CB01B5">
            <w:pPr>
              <w:rPr>
                <w:rFonts w:ascii="Arial" w:hAnsi="Arial" w:cs="Arial"/>
                <w:i/>
                <w:iCs/>
              </w:rPr>
            </w:pPr>
            <w:r>
              <w:rPr>
                <w:rFonts w:ascii="Arial" w:hAnsi="Arial" w:cs="Arial"/>
                <w:i/>
                <w:iCs/>
              </w:rPr>
              <w:t>0-34</w:t>
            </w:r>
          </w:p>
        </w:tc>
        <w:tc>
          <w:tcPr>
            <w:tcW w:w="1504" w:type="dxa"/>
          </w:tcPr>
          <w:p w14:paraId="30E49BF0" w14:textId="09DC8DA2" w:rsidR="00881CEC" w:rsidRDefault="0038523F" w:rsidP="00CB01B5">
            <w:pPr>
              <w:rPr>
                <w:rFonts w:ascii="Arial" w:hAnsi="Arial" w:cs="Arial"/>
              </w:rPr>
            </w:pPr>
            <w:r>
              <w:rPr>
                <w:rFonts w:ascii="Arial" w:hAnsi="Arial" w:cs="Arial"/>
              </w:rPr>
              <w:t>N/A</w:t>
            </w:r>
          </w:p>
        </w:tc>
        <w:tc>
          <w:tcPr>
            <w:tcW w:w="1505" w:type="dxa"/>
          </w:tcPr>
          <w:p w14:paraId="4D3F245F" w14:textId="7865ACB7" w:rsidR="00881CEC" w:rsidRDefault="0038523F" w:rsidP="00CB01B5">
            <w:pPr>
              <w:rPr>
                <w:rFonts w:ascii="Arial" w:hAnsi="Arial" w:cs="Arial"/>
              </w:rPr>
            </w:pPr>
            <w:r>
              <w:rPr>
                <w:rFonts w:ascii="Arial" w:hAnsi="Arial" w:cs="Arial"/>
              </w:rPr>
              <w:t>0.02</w:t>
            </w:r>
          </w:p>
        </w:tc>
        <w:tc>
          <w:tcPr>
            <w:tcW w:w="1487" w:type="dxa"/>
          </w:tcPr>
          <w:p w14:paraId="0A6336B8" w14:textId="5C4086E6" w:rsidR="00881CEC" w:rsidRDefault="000407D4" w:rsidP="00CB01B5">
            <w:pPr>
              <w:rPr>
                <w:rFonts w:ascii="Arial" w:hAnsi="Arial" w:cs="Arial"/>
              </w:rPr>
            </w:pPr>
            <w:r>
              <w:rPr>
                <w:rFonts w:ascii="Arial" w:hAnsi="Arial" w:cs="Arial"/>
              </w:rPr>
              <w:t>&lt;0.001</w:t>
            </w:r>
          </w:p>
        </w:tc>
        <w:tc>
          <w:tcPr>
            <w:tcW w:w="1487" w:type="dxa"/>
          </w:tcPr>
          <w:p w14:paraId="1B36DB08" w14:textId="46358CCC" w:rsidR="00881CEC" w:rsidRDefault="000407D4" w:rsidP="00CB01B5">
            <w:pPr>
              <w:rPr>
                <w:rFonts w:ascii="Arial" w:hAnsi="Arial" w:cs="Arial"/>
              </w:rPr>
            </w:pPr>
            <w:r>
              <w:rPr>
                <w:rFonts w:ascii="Arial" w:hAnsi="Arial" w:cs="Arial"/>
              </w:rPr>
              <w:t>&gt;-0.001, &lt;0.001</w:t>
            </w:r>
          </w:p>
        </w:tc>
        <w:tc>
          <w:tcPr>
            <w:tcW w:w="1497" w:type="dxa"/>
          </w:tcPr>
          <w:p w14:paraId="227D7F80" w14:textId="4BAA05FA" w:rsidR="00881CEC" w:rsidRDefault="000407D4" w:rsidP="00CB01B5">
            <w:pPr>
              <w:rPr>
                <w:rFonts w:ascii="Arial" w:hAnsi="Arial" w:cs="Arial"/>
              </w:rPr>
            </w:pPr>
            <w:r>
              <w:rPr>
                <w:rFonts w:ascii="Arial" w:hAnsi="Arial" w:cs="Arial"/>
              </w:rPr>
              <w:t>0.21</w:t>
            </w:r>
          </w:p>
        </w:tc>
      </w:tr>
      <w:tr w:rsidR="00881CEC" w14:paraId="000B75D8" w14:textId="77777777" w:rsidTr="00881CEC">
        <w:tc>
          <w:tcPr>
            <w:tcW w:w="1870" w:type="dxa"/>
          </w:tcPr>
          <w:p w14:paraId="2F3EE80F" w14:textId="4D032577" w:rsidR="00881CEC" w:rsidRPr="00DD3328" w:rsidRDefault="00DD3328" w:rsidP="00CB01B5">
            <w:pPr>
              <w:rPr>
                <w:rFonts w:ascii="Arial" w:hAnsi="Arial" w:cs="Arial"/>
                <w:i/>
                <w:iCs/>
              </w:rPr>
            </w:pPr>
            <w:r w:rsidRPr="00DD3328">
              <w:rPr>
                <w:rFonts w:ascii="Arial" w:hAnsi="Arial" w:cs="Arial"/>
                <w:i/>
                <w:iCs/>
              </w:rPr>
              <w:t>35-64</w:t>
            </w:r>
          </w:p>
        </w:tc>
        <w:tc>
          <w:tcPr>
            <w:tcW w:w="1504" w:type="dxa"/>
          </w:tcPr>
          <w:p w14:paraId="1B5961E4" w14:textId="02C3E2BD" w:rsidR="00881CEC" w:rsidRDefault="0038523F" w:rsidP="00CB01B5">
            <w:pPr>
              <w:rPr>
                <w:rFonts w:ascii="Arial" w:hAnsi="Arial" w:cs="Arial"/>
              </w:rPr>
            </w:pPr>
            <w:r>
              <w:rPr>
                <w:rFonts w:ascii="Arial" w:hAnsi="Arial" w:cs="Arial"/>
              </w:rPr>
              <w:t>0.15</w:t>
            </w:r>
          </w:p>
        </w:tc>
        <w:tc>
          <w:tcPr>
            <w:tcW w:w="1505" w:type="dxa"/>
          </w:tcPr>
          <w:p w14:paraId="4F0D2485" w14:textId="08203648" w:rsidR="00881CEC" w:rsidRDefault="0038523F" w:rsidP="00CB01B5">
            <w:pPr>
              <w:rPr>
                <w:rFonts w:ascii="Arial" w:hAnsi="Arial" w:cs="Arial"/>
              </w:rPr>
            </w:pPr>
            <w:r>
              <w:rPr>
                <w:rFonts w:ascii="Arial" w:hAnsi="Arial" w:cs="Arial"/>
              </w:rPr>
              <w:t>0.55</w:t>
            </w:r>
          </w:p>
        </w:tc>
        <w:tc>
          <w:tcPr>
            <w:tcW w:w="1487" w:type="dxa"/>
          </w:tcPr>
          <w:p w14:paraId="463EE11A" w14:textId="75735A25" w:rsidR="00881CEC" w:rsidRDefault="000407D4" w:rsidP="00CB01B5">
            <w:pPr>
              <w:rPr>
                <w:rFonts w:ascii="Arial" w:hAnsi="Arial" w:cs="Arial"/>
              </w:rPr>
            </w:pPr>
            <w:r>
              <w:rPr>
                <w:rFonts w:ascii="Arial" w:hAnsi="Arial" w:cs="Arial"/>
              </w:rPr>
              <w:t>5.58</w:t>
            </w:r>
          </w:p>
        </w:tc>
        <w:tc>
          <w:tcPr>
            <w:tcW w:w="1487" w:type="dxa"/>
          </w:tcPr>
          <w:p w14:paraId="754E73AA" w14:textId="159E719B" w:rsidR="00881CEC" w:rsidRDefault="000407D4" w:rsidP="00CB01B5">
            <w:pPr>
              <w:rPr>
                <w:rFonts w:ascii="Arial" w:hAnsi="Arial" w:cs="Arial"/>
              </w:rPr>
            </w:pPr>
            <w:r>
              <w:rPr>
                <w:rFonts w:ascii="Arial" w:hAnsi="Arial" w:cs="Arial"/>
              </w:rPr>
              <w:t>4.93, 6.24</w:t>
            </w:r>
          </w:p>
        </w:tc>
        <w:tc>
          <w:tcPr>
            <w:tcW w:w="1497" w:type="dxa"/>
          </w:tcPr>
          <w:p w14:paraId="5DB83D10" w14:textId="42BDA8BE" w:rsidR="00881CEC" w:rsidRPr="000407D4" w:rsidRDefault="000407D4" w:rsidP="00CB01B5">
            <w:pPr>
              <w:rPr>
                <w:rFonts w:ascii="Arial" w:hAnsi="Arial" w:cs="Arial"/>
                <w:b/>
                <w:bCs/>
              </w:rPr>
            </w:pPr>
            <w:r w:rsidRPr="000407D4">
              <w:rPr>
                <w:rFonts w:ascii="Arial" w:hAnsi="Arial" w:cs="Arial"/>
                <w:b/>
                <w:bCs/>
              </w:rPr>
              <w:t>&lt;0.001</w:t>
            </w:r>
          </w:p>
        </w:tc>
      </w:tr>
      <w:tr w:rsidR="00881CEC" w14:paraId="43CB4BCE" w14:textId="77777777" w:rsidTr="00881CEC">
        <w:tc>
          <w:tcPr>
            <w:tcW w:w="1870" w:type="dxa"/>
          </w:tcPr>
          <w:p w14:paraId="52B48994" w14:textId="0A450E53" w:rsidR="00881CEC" w:rsidRPr="00DD3328" w:rsidRDefault="00DD3328" w:rsidP="00CB01B5">
            <w:pPr>
              <w:rPr>
                <w:rFonts w:ascii="Arial" w:hAnsi="Arial" w:cs="Arial"/>
                <w:i/>
                <w:iCs/>
              </w:rPr>
            </w:pPr>
            <w:commentRangeStart w:id="4"/>
            <w:r w:rsidRPr="00DD3328">
              <w:rPr>
                <w:rFonts w:ascii="Arial" w:hAnsi="Arial" w:cs="Arial"/>
                <w:i/>
                <w:iCs/>
              </w:rPr>
              <w:t>65+</w:t>
            </w:r>
          </w:p>
        </w:tc>
        <w:tc>
          <w:tcPr>
            <w:tcW w:w="1504" w:type="dxa"/>
          </w:tcPr>
          <w:p w14:paraId="730ECFC0" w14:textId="52C730BC" w:rsidR="00881CEC" w:rsidRDefault="0038523F" w:rsidP="00CB01B5">
            <w:pPr>
              <w:rPr>
                <w:rFonts w:ascii="Arial" w:hAnsi="Arial" w:cs="Arial"/>
              </w:rPr>
            </w:pPr>
            <w:r>
              <w:rPr>
                <w:rFonts w:ascii="Arial" w:hAnsi="Arial" w:cs="Arial"/>
              </w:rPr>
              <w:t>2.61</w:t>
            </w:r>
          </w:p>
        </w:tc>
        <w:tc>
          <w:tcPr>
            <w:tcW w:w="1505" w:type="dxa"/>
          </w:tcPr>
          <w:p w14:paraId="1A44F030" w14:textId="0378D563" w:rsidR="00881CEC" w:rsidRDefault="0038523F" w:rsidP="00CB01B5">
            <w:pPr>
              <w:rPr>
                <w:rFonts w:ascii="Arial" w:hAnsi="Arial" w:cs="Arial"/>
              </w:rPr>
            </w:pPr>
            <w:r>
              <w:rPr>
                <w:rFonts w:ascii="Arial" w:hAnsi="Arial" w:cs="Arial"/>
              </w:rPr>
              <w:t>5.24</w:t>
            </w:r>
          </w:p>
        </w:tc>
        <w:tc>
          <w:tcPr>
            <w:tcW w:w="1487" w:type="dxa"/>
          </w:tcPr>
          <w:p w14:paraId="61BF2971" w14:textId="77015C76" w:rsidR="00881CEC" w:rsidRDefault="000407D4" w:rsidP="00CB01B5">
            <w:pPr>
              <w:rPr>
                <w:rFonts w:ascii="Arial" w:hAnsi="Arial" w:cs="Arial"/>
              </w:rPr>
            </w:pPr>
            <w:r>
              <w:rPr>
                <w:rFonts w:ascii="Arial" w:hAnsi="Arial" w:cs="Arial"/>
              </w:rPr>
              <w:t>2.1</w:t>
            </w:r>
          </w:p>
        </w:tc>
        <w:tc>
          <w:tcPr>
            <w:tcW w:w="1487" w:type="dxa"/>
          </w:tcPr>
          <w:p w14:paraId="7DA5C33E" w14:textId="43733076" w:rsidR="00881CEC" w:rsidRDefault="000407D4" w:rsidP="00CB01B5">
            <w:pPr>
              <w:rPr>
                <w:rFonts w:ascii="Arial" w:hAnsi="Arial" w:cs="Arial"/>
              </w:rPr>
            </w:pPr>
            <w:r>
              <w:rPr>
                <w:rFonts w:ascii="Arial" w:hAnsi="Arial" w:cs="Arial"/>
              </w:rPr>
              <w:t>1.47, 2.73</w:t>
            </w:r>
          </w:p>
        </w:tc>
        <w:tc>
          <w:tcPr>
            <w:tcW w:w="1497" w:type="dxa"/>
          </w:tcPr>
          <w:p w14:paraId="5B4010A4" w14:textId="26657859" w:rsidR="00881CEC" w:rsidRPr="000407D4" w:rsidRDefault="000407D4" w:rsidP="00CB01B5">
            <w:pPr>
              <w:rPr>
                <w:rFonts w:ascii="Arial" w:hAnsi="Arial" w:cs="Arial"/>
                <w:b/>
                <w:bCs/>
              </w:rPr>
            </w:pPr>
            <w:r>
              <w:rPr>
                <w:rFonts w:ascii="Arial" w:hAnsi="Arial" w:cs="Arial"/>
                <w:b/>
                <w:bCs/>
              </w:rPr>
              <w:t>&lt;0.001</w:t>
            </w:r>
            <w:commentRangeEnd w:id="4"/>
            <w:r w:rsidR="0040343C">
              <w:rPr>
                <w:rStyle w:val="CommentReference"/>
              </w:rPr>
              <w:commentReference w:id="4"/>
            </w:r>
          </w:p>
        </w:tc>
      </w:tr>
      <w:tr w:rsidR="00EA439C" w14:paraId="3B705B0A" w14:textId="77777777" w:rsidTr="00D60614">
        <w:tc>
          <w:tcPr>
            <w:tcW w:w="9350" w:type="dxa"/>
            <w:gridSpan w:val="6"/>
          </w:tcPr>
          <w:p w14:paraId="2C225053" w14:textId="6C1CFB5D" w:rsidR="00EA439C" w:rsidRDefault="00EA439C" w:rsidP="00CB01B5">
            <w:pPr>
              <w:rPr>
                <w:rFonts w:ascii="Arial" w:hAnsi="Arial" w:cs="Arial"/>
              </w:rPr>
            </w:pPr>
            <w:r>
              <w:rPr>
                <w:rFonts w:ascii="Arial" w:hAnsi="Arial" w:cs="Arial"/>
                <w:b/>
                <w:bCs/>
              </w:rPr>
              <w:t>Comorbidity</w:t>
            </w:r>
          </w:p>
        </w:tc>
      </w:tr>
      <w:tr w:rsidR="00961141" w14:paraId="2DC8662B" w14:textId="77777777" w:rsidTr="00881CEC">
        <w:tc>
          <w:tcPr>
            <w:tcW w:w="1870" w:type="dxa"/>
          </w:tcPr>
          <w:p w14:paraId="60617522" w14:textId="746331A4" w:rsidR="00961141" w:rsidRPr="00B72784" w:rsidRDefault="00B72784" w:rsidP="00CB01B5">
            <w:pPr>
              <w:rPr>
                <w:rFonts w:ascii="Arial" w:hAnsi="Arial" w:cs="Arial"/>
                <w:i/>
                <w:iCs/>
              </w:rPr>
            </w:pPr>
            <w:r w:rsidRPr="00B72784">
              <w:rPr>
                <w:rFonts w:ascii="Arial" w:hAnsi="Arial" w:cs="Arial"/>
                <w:i/>
                <w:iCs/>
              </w:rPr>
              <w:t>Diabetes</w:t>
            </w:r>
          </w:p>
        </w:tc>
        <w:tc>
          <w:tcPr>
            <w:tcW w:w="1504" w:type="dxa"/>
          </w:tcPr>
          <w:p w14:paraId="15D785C7" w14:textId="3A69EFD0" w:rsidR="00961141" w:rsidRDefault="005640BC" w:rsidP="00CB01B5">
            <w:pPr>
              <w:rPr>
                <w:rFonts w:ascii="Arial" w:hAnsi="Arial" w:cs="Arial"/>
              </w:rPr>
            </w:pPr>
            <w:r>
              <w:rPr>
                <w:rFonts w:ascii="Arial" w:hAnsi="Arial" w:cs="Arial"/>
              </w:rPr>
              <w:t>0.28</w:t>
            </w:r>
          </w:p>
        </w:tc>
        <w:tc>
          <w:tcPr>
            <w:tcW w:w="1505" w:type="dxa"/>
          </w:tcPr>
          <w:p w14:paraId="0833D067" w14:textId="235C2AC9" w:rsidR="00961141" w:rsidRDefault="005640BC" w:rsidP="00CB01B5">
            <w:pPr>
              <w:rPr>
                <w:rFonts w:ascii="Arial" w:hAnsi="Arial" w:cs="Arial"/>
              </w:rPr>
            </w:pPr>
            <w:r>
              <w:rPr>
                <w:rFonts w:ascii="Arial" w:hAnsi="Arial" w:cs="Arial"/>
              </w:rPr>
              <w:t>0.66</w:t>
            </w:r>
          </w:p>
        </w:tc>
        <w:tc>
          <w:tcPr>
            <w:tcW w:w="1487" w:type="dxa"/>
          </w:tcPr>
          <w:p w14:paraId="46CEC03B" w14:textId="508A1E0D" w:rsidR="00961141" w:rsidRDefault="005640BC" w:rsidP="00CB01B5">
            <w:pPr>
              <w:rPr>
                <w:rFonts w:ascii="Arial" w:hAnsi="Arial" w:cs="Arial"/>
              </w:rPr>
            </w:pPr>
            <w:r>
              <w:rPr>
                <w:rFonts w:ascii="Arial" w:hAnsi="Arial" w:cs="Arial"/>
              </w:rPr>
              <w:t>2.85</w:t>
            </w:r>
          </w:p>
        </w:tc>
        <w:tc>
          <w:tcPr>
            <w:tcW w:w="1487" w:type="dxa"/>
          </w:tcPr>
          <w:p w14:paraId="04B175D9" w14:textId="1B22507F" w:rsidR="00961141" w:rsidRDefault="005640BC" w:rsidP="00CB01B5">
            <w:pPr>
              <w:rPr>
                <w:rFonts w:ascii="Arial" w:hAnsi="Arial" w:cs="Arial"/>
              </w:rPr>
            </w:pPr>
            <w:r>
              <w:rPr>
                <w:rFonts w:ascii="Arial" w:hAnsi="Arial" w:cs="Arial"/>
              </w:rPr>
              <w:t>1.97, 3.74</w:t>
            </w:r>
          </w:p>
        </w:tc>
        <w:tc>
          <w:tcPr>
            <w:tcW w:w="1497" w:type="dxa"/>
          </w:tcPr>
          <w:p w14:paraId="2702B437" w14:textId="46B50228" w:rsidR="00961141" w:rsidRDefault="005640BC" w:rsidP="00CB01B5">
            <w:pPr>
              <w:rPr>
                <w:rFonts w:ascii="Arial" w:hAnsi="Arial" w:cs="Arial"/>
              </w:rPr>
            </w:pPr>
            <w:r>
              <w:rPr>
                <w:rFonts w:ascii="Arial" w:hAnsi="Arial" w:cs="Arial"/>
                <w:b/>
                <w:bCs/>
              </w:rPr>
              <w:t>&lt;0.001</w:t>
            </w:r>
          </w:p>
        </w:tc>
      </w:tr>
      <w:tr w:rsidR="00961141" w14:paraId="47E5ECDB" w14:textId="77777777" w:rsidTr="00881CEC">
        <w:tc>
          <w:tcPr>
            <w:tcW w:w="1870" w:type="dxa"/>
          </w:tcPr>
          <w:p w14:paraId="7C043E55" w14:textId="0CFE31DF" w:rsidR="00961141" w:rsidRPr="00B72784" w:rsidRDefault="00B72784" w:rsidP="00CB01B5">
            <w:pPr>
              <w:rPr>
                <w:rFonts w:ascii="Arial" w:hAnsi="Arial" w:cs="Arial"/>
                <w:i/>
                <w:iCs/>
              </w:rPr>
            </w:pPr>
            <w:r w:rsidRPr="00B72784">
              <w:rPr>
                <w:rFonts w:ascii="Arial" w:hAnsi="Arial" w:cs="Arial"/>
                <w:i/>
                <w:iCs/>
              </w:rPr>
              <w:t>Peripheral Vascular Disease</w:t>
            </w:r>
          </w:p>
        </w:tc>
        <w:tc>
          <w:tcPr>
            <w:tcW w:w="1504" w:type="dxa"/>
          </w:tcPr>
          <w:p w14:paraId="49D8445B" w14:textId="574CB820" w:rsidR="00961141" w:rsidRDefault="005640BC" w:rsidP="00CB01B5">
            <w:pPr>
              <w:rPr>
                <w:rFonts w:ascii="Arial" w:hAnsi="Arial" w:cs="Arial"/>
              </w:rPr>
            </w:pPr>
            <w:r>
              <w:rPr>
                <w:rFonts w:ascii="Arial" w:hAnsi="Arial" w:cs="Arial"/>
              </w:rPr>
              <w:t>0.09</w:t>
            </w:r>
          </w:p>
        </w:tc>
        <w:tc>
          <w:tcPr>
            <w:tcW w:w="1505" w:type="dxa"/>
          </w:tcPr>
          <w:p w14:paraId="08C32C1B" w14:textId="145322F7" w:rsidR="00961141" w:rsidRDefault="005640BC" w:rsidP="00CB01B5">
            <w:pPr>
              <w:rPr>
                <w:rFonts w:ascii="Arial" w:hAnsi="Arial" w:cs="Arial"/>
              </w:rPr>
            </w:pPr>
            <w:r>
              <w:rPr>
                <w:rFonts w:ascii="Arial" w:hAnsi="Arial" w:cs="Arial"/>
              </w:rPr>
              <w:t>0.22</w:t>
            </w:r>
          </w:p>
        </w:tc>
        <w:tc>
          <w:tcPr>
            <w:tcW w:w="1487" w:type="dxa"/>
          </w:tcPr>
          <w:p w14:paraId="427FC181" w14:textId="1C9743CF" w:rsidR="00961141" w:rsidRDefault="005640BC" w:rsidP="00CB01B5">
            <w:pPr>
              <w:rPr>
                <w:rFonts w:ascii="Arial" w:hAnsi="Arial" w:cs="Arial"/>
              </w:rPr>
            </w:pPr>
            <w:r>
              <w:rPr>
                <w:rFonts w:ascii="Arial" w:hAnsi="Arial" w:cs="Arial"/>
              </w:rPr>
              <w:t>2.87</w:t>
            </w:r>
          </w:p>
        </w:tc>
        <w:tc>
          <w:tcPr>
            <w:tcW w:w="1487" w:type="dxa"/>
          </w:tcPr>
          <w:p w14:paraId="3A2F4675" w14:textId="25F3274D" w:rsidR="00961141" w:rsidRDefault="005640BC" w:rsidP="00CB01B5">
            <w:pPr>
              <w:rPr>
                <w:rFonts w:ascii="Arial" w:hAnsi="Arial" w:cs="Arial"/>
              </w:rPr>
            </w:pPr>
            <w:r>
              <w:rPr>
                <w:rFonts w:ascii="Arial" w:hAnsi="Arial" w:cs="Arial"/>
              </w:rPr>
              <w:t>1.68, 4.08</w:t>
            </w:r>
          </w:p>
        </w:tc>
        <w:tc>
          <w:tcPr>
            <w:tcW w:w="1497" w:type="dxa"/>
          </w:tcPr>
          <w:p w14:paraId="42AED31E" w14:textId="2920990A" w:rsidR="00961141" w:rsidRDefault="005640BC" w:rsidP="00CB01B5">
            <w:pPr>
              <w:rPr>
                <w:rFonts w:ascii="Arial" w:hAnsi="Arial" w:cs="Arial"/>
              </w:rPr>
            </w:pPr>
            <w:r>
              <w:rPr>
                <w:rFonts w:ascii="Arial" w:hAnsi="Arial" w:cs="Arial"/>
                <w:b/>
                <w:bCs/>
              </w:rPr>
              <w:t>&lt;0.001</w:t>
            </w:r>
          </w:p>
        </w:tc>
      </w:tr>
      <w:tr w:rsidR="00961141" w14:paraId="79CB4249" w14:textId="77777777" w:rsidTr="00881CEC">
        <w:tc>
          <w:tcPr>
            <w:tcW w:w="1870" w:type="dxa"/>
          </w:tcPr>
          <w:p w14:paraId="5ABC67EC" w14:textId="7321A429" w:rsidR="00961141" w:rsidRPr="00B72784" w:rsidRDefault="00B72784" w:rsidP="00CB01B5">
            <w:pPr>
              <w:rPr>
                <w:rFonts w:ascii="Arial" w:hAnsi="Arial" w:cs="Arial"/>
                <w:i/>
                <w:iCs/>
              </w:rPr>
            </w:pPr>
            <w:r w:rsidRPr="00B72784">
              <w:rPr>
                <w:rFonts w:ascii="Arial" w:hAnsi="Arial" w:cs="Arial"/>
                <w:i/>
                <w:iCs/>
              </w:rPr>
              <w:t>Trauma</w:t>
            </w:r>
          </w:p>
        </w:tc>
        <w:tc>
          <w:tcPr>
            <w:tcW w:w="1504" w:type="dxa"/>
          </w:tcPr>
          <w:p w14:paraId="08EBA4D3" w14:textId="5D687F54" w:rsidR="00961141" w:rsidRDefault="005640BC" w:rsidP="00CB01B5">
            <w:pPr>
              <w:rPr>
                <w:rFonts w:ascii="Arial" w:hAnsi="Arial" w:cs="Arial"/>
              </w:rPr>
            </w:pPr>
            <w:r>
              <w:rPr>
                <w:rFonts w:ascii="Arial" w:hAnsi="Arial" w:cs="Arial"/>
              </w:rPr>
              <w:t>0.02</w:t>
            </w:r>
          </w:p>
        </w:tc>
        <w:tc>
          <w:tcPr>
            <w:tcW w:w="1505" w:type="dxa"/>
          </w:tcPr>
          <w:p w14:paraId="531EEF32" w14:textId="22933887" w:rsidR="00961141" w:rsidRDefault="005640BC" w:rsidP="00CB01B5">
            <w:pPr>
              <w:rPr>
                <w:rFonts w:ascii="Arial" w:hAnsi="Arial" w:cs="Arial"/>
              </w:rPr>
            </w:pPr>
            <w:r>
              <w:rPr>
                <w:rFonts w:ascii="Arial" w:hAnsi="Arial" w:cs="Arial"/>
              </w:rPr>
              <w:t>0.07</w:t>
            </w:r>
          </w:p>
        </w:tc>
        <w:tc>
          <w:tcPr>
            <w:tcW w:w="1487" w:type="dxa"/>
          </w:tcPr>
          <w:p w14:paraId="64CB2203" w14:textId="588ED0C3" w:rsidR="00961141" w:rsidRDefault="005640BC" w:rsidP="00CB01B5">
            <w:pPr>
              <w:rPr>
                <w:rFonts w:ascii="Arial" w:hAnsi="Arial" w:cs="Arial"/>
              </w:rPr>
            </w:pPr>
            <w:r>
              <w:rPr>
                <w:rFonts w:ascii="Arial" w:hAnsi="Arial" w:cs="Arial"/>
              </w:rPr>
              <w:t>5.97</w:t>
            </w:r>
          </w:p>
        </w:tc>
        <w:tc>
          <w:tcPr>
            <w:tcW w:w="1487" w:type="dxa"/>
          </w:tcPr>
          <w:p w14:paraId="5FE4A68D" w14:textId="1C576B2F" w:rsidR="00961141" w:rsidRDefault="005640BC" w:rsidP="00CB01B5">
            <w:pPr>
              <w:rPr>
                <w:rFonts w:ascii="Arial" w:hAnsi="Arial" w:cs="Arial"/>
              </w:rPr>
            </w:pPr>
            <w:r>
              <w:rPr>
                <w:rFonts w:ascii="Arial" w:hAnsi="Arial" w:cs="Arial"/>
              </w:rPr>
              <w:t>3.96, 8.03</w:t>
            </w:r>
          </w:p>
        </w:tc>
        <w:tc>
          <w:tcPr>
            <w:tcW w:w="1497" w:type="dxa"/>
          </w:tcPr>
          <w:p w14:paraId="61D66AC7" w14:textId="629BECAC" w:rsidR="00961141" w:rsidRDefault="005640BC" w:rsidP="00CB01B5">
            <w:pPr>
              <w:rPr>
                <w:rFonts w:ascii="Arial" w:hAnsi="Arial" w:cs="Arial"/>
              </w:rPr>
            </w:pPr>
            <w:r>
              <w:rPr>
                <w:rFonts w:ascii="Arial" w:hAnsi="Arial" w:cs="Arial"/>
                <w:b/>
                <w:bCs/>
              </w:rPr>
              <w:t>&lt;0.001</w:t>
            </w:r>
          </w:p>
        </w:tc>
      </w:tr>
      <w:tr w:rsidR="00961141" w14:paraId="35B66B6B" w14:textId="77777777" w:rsidTr="00881CEC">
        <w:tc>
          <w:tcPr>
            <w:tcW w:w="1870" w:type="dxa"/>
          </w:tcPr>
          <w:p w14:paraId="05BADD3D" w14:textId="211B9E81" w:rsidR="00961141" w:rsidRPr="00B72784" w:rsidRDefault="00B72784" w:rsidP="00CB01B5">
            <w:pPr>
              <w:rPr>
                <w:rFonts w:ascii="Arial" w:hAnsi="Arial" w:cs="Arial"/>
                <w:i/>
                <w:iCs/>
              </w:rPr>
            </w:pPr>
            <w:r w:rsidRPr="00B72784">
              <w:rPr>
                <w:rFonts w:ascii="Arial" w:hAnsi="Arial" w:cs="Arial"/>
                <w:i/>
                <w:iCs/>
              </w:rPr>
              <w:t>Decubitus Ulcer</w:t>
            </w:r>
          </w:p>
        </w:tc>
        <w:tc>
          <w:tcPr>
            <w:tcW w:w="1504" w:type="dxa"/>
          </w:tcPr>
          <w:p w14:paraId="6CC6243B" w14:textId="6C7BABF5" w:rsidR="00961141" w:rsidRDefault="005640BC" w:rsidP="00CB01B5">
            <w:pPr>
              <w:rPr>
                <w:rFonts w:ascii="Arial" w:hAnsi="Arial" w:cs="Arial"/>
              </w:rPr>
            </w:pPr>
            <w:r>
              <w:rPr>
                <w:rFonts w:ascii="Arial" w:hAnsi="Arial" w:cs="Arial"/>
              </w:rPr>
              <w:t>0.07</w:t>
            </w:r>
          </w:p>
        </w:tc>
        <w:tc>
          <w:tcPr>
            <w:tcW w:w="1505" w:type="dxa"/>
          </w:tcPr>
          <w:p w14:paraId="0868D8AF" w14:textId="5C6BC32B" w:rsidR="00961141" w:rsidRDefault="005640BC" w:rsidP="00CB01B5">
            <w:pPr>
              <w:rPr>
                <w:rFonts w:ascii="Arial" w:hAnsi="Arial" w:cs="Arial"/>
              </w:rPr>
            </w:pPr>
            <w:r>
              <w:rPr>
                <w:rFonts w:ascii="Arial" w:hAnsi="Arial" w:cs="Arial"/>
              </w:rPr>
              <w:t>0.22</w:t>
            </w:r>
          </w:p>
        </w:tc>
        <w:tc>
          <w:tcPr>
            <w:tcW w:w="1487" w:type="dxa"/>
          </w:tcPr>
          <w:p w14:paraId="394D5E9B" w14:textId="4A9E9F37" w:rsidR="00961141" w:rsidRDefault="005640BC" w:rsidP="00CB01B5">
            <w:pPr>
              <w:rPr>
                <w:rFonts w:ascii="Arial" w:hAnsi="Arial" w:cs="Arial"/>
              </w:rPr>
            </w:pPr>
            <w:r>
              <w:rPr>
                <w:rFonts w:ascii="Arial" w:hAnsi="Arial" w:cs="Arial"/>
              </w:rPr>
              <w:t>5.3</w:t>
            </w:r>
          </w:p>
        </w:tc>
        <w:tc>
          <w:tcPr>
            <w:tcW w:w="1487" w:type="dxa"/>
          </w:tcPr>
          <w:p w14:paraId="68334084" w14:textId="4AA4D3FB" w:rsidR="00961141" w:rsidRDefault="005640BC" w:rsidP="00CB01B5">
            <w:pPr>
              <w:rPr>
                <w:rFonts w:ascii="Arial" w:hAnsi="Arial" w:cs="Arial"/>
              </w:rPr>
            </w:pPr>
            <w:r>
              <w:rPr>
                <w:rFonts w:ascii="Arial" w:hAnsi="Arial" w:cs="Arial"/>
              </w:rPr>
              <w:t>4.48, 6.12</w:t>
            </w:r>
          </w:p>
        </w:tc>
        <w:tc>
          <w:tcPr>
            <w:tcW w:w="1497" w:type="dxa"/>
          </w:tcPr>
          <w:p w14:paraId="113EEA7D" w14:textId="12D36CBC" w:rsidR="00961141" w:rsidRDefault="005640BC" w:rsidP="00CB01B5">
            <w:pPr>
              <w:rPr>
                <w:rFonts w:ascii="Arial" w:hAnsi="Arial" w:cs="Arial"/>
              </w:rPr>
            </w:pPr>
            <w:r>
              <w:rPr>
                <w:rFonts w:ascii="Arial" w:hAnsi="Arial" w:cs="Arial"/>
                <w:b/>
                <w:bCs/>
              </w:rPr>
              <w:t>&lt;0.001</w:t>
            </w:r>
          </w:p>
        </w:tc>
      </w:tr>
      <w:tr w:rsidR="00961141" w14:paraId="73C52DA3" w14:textId="77777777" w:rsidTr="00881CEC">
        <w:tc>
          <w:tcPr>
            <w:tcW w:w="1870" w:type="dxa"/>
          </w:tcPr>
          <w:p w14:paraId="3243AF94" w14:textId="6D15D55B" w:rsidR="00961141" w:rsidRPr="00B72784" w:rsidRDefault="00B72784" w:rsidP="00CB01B5">
            <w:pPr>
              <w:rPr>
                <w:rFonts w:ascii="Arial" w:hAnsi="Arial" w:cs="Arial"/>
                <w:i/>
                <w:iCs/>
              </w:rPr>
            </w:pPr>
            <w:r w:rsidRPr="00B72784">
              <w:rPr>
                <w:rFonts w:ascii="Arial" w:hAnsi="Arial" w:cs="Arial"/>
                <w:i/>
                <w:iCs/>
              </w:rPr>
              <w:t>Vertebral</w:t>
            </w:r>
          </w:p>
        </w:tc>
        <w:tc>
          <w:tcPr>
            <w:tcW w:w="1504" w:type="dxa"/>
          </w:tcPr>
          <w:p w14:paraId="69B39415" w14:textId="463DFE1A" w:rsidR="00961141" w:rsidRDefault="005640BC" w:rsidP="00CB01B5">
            <w:pPr>
              <w:rPr>
                <w:rFonts w:ascii="Arial" w:hAnsi="Arial" w:cs="Arial"/>
              </w:rPr>
            </w:pPr>
            <w:r>
              <w:rPr>
                <w:rFonts w:ascii="Arial" w:hAnsi="Arial" w:cs="Arial"/>
              </w:rPr>
              <w:t>0.08</w:t>
            </w:r>
          </w:p>
        </w:tc>
        <w:tc>
          <w:tcPr>
            <w:tcW w:w="1505" w:type="dxa"/>
          </w:tcPr>
          <w:p w14:paraId="2944E93C" w14:textId="25404000" w:rsidR="00961141" w:rsidRDefault="005640BC" w:rsidP="00CB01B5">
            <w:pPr>
              <w:rPr>
                <w:rFonts w:ascii="Arial" w:hAnsi="Arial" w:cs="Arial"/>
              </w:rPr>
            </w:pPr>
            <w:r>
              <w:rPr>
                <w:rFonts w:ascii="Arial" w:hAnsi="Arial" w:cs="Arial"/>
              </w:rPr>
              <w:t>0.38</w:t>
            </w:r>
          </w:p>
        </w:tc>
        <w:tc>
          <w:tcPr>
            <w:tcW w:w="1487" w:type="dxa"/>
          </w:tcPr>
          <w:p w14:paraId="53B46316" w14:textId="6607D9C1" w:rsidR="00961141" w:rsidRDefault="005640BC" w:rsidP="00CB01B5">
            <w:pPr>
              <w:rPr>
                <w:rFonts w:ascii="Arial" w:hAnsi="Arial" w:cs="Arial"/>
              </w:rPr>
            </w:pPr>
            <w:r>
              <w:rPr>
                <w:rFonts w:ascii="Arial" w:hAnsi="Arial" w:cs="Arial"/>
              </w:rPr>
              <w:t>5.93</w:t>
            </w:r>
          </w:p>
        </w:tc>
        <w:tc>
          <w:tcPr>
            <w:tcW w:w="1487" w:type="dxa"/>
          </w:tcPr>
          <w:p w14:paraId="4A4A16FD" w14:textId="45764CAF" w:rsidR="00961141" w:rsidRDefault="005640BC" w:rsidP="00CB01B5">
            <w:pPr>
              <w:rPr>
                <w:rFonts w:ascii="Arial" w:hAnsi="Arial" w:cs="Arial"/>
              </w:rPr>
            </w:pPr>
            <w:r>
              <w:rPr>
                <w:rFonts w:ascii="Arial" w:hAnsi="Arial" w:cs="Arial"/>
              </w:rPr>
              <w:t>5.21, 6.65</w:t>
            </w:r>
          </w:p>
        </w:tc>
        <w:tc>
          <w:tcPr>
            <w:tcW w:w="1497" w:type="dxa"/>
          </w:tcPr>
          <w:p w14:paraId="1760B324" w14:textId="53FF3180" w:rsidR="00961141" w:rsidRDefault="005640BC" w:rsidP="00CB01B5">
            <w:pPr>
              <w:rPr>
                <w:rFonts w:ascii="Arial" w:hAnsi="Arial" w:cs="Arial"/>
              </w:rPr>
            </w:pPr>
            <w:r>
              <w:rPr>
                <w:rFonts w:ascii="Arial" w:hAnsi="Arial" w:cs="Arial"/>
                <w:b/>
                <w:bCs/>
              </w:rPr>
              <w:t>&lt;0.001</w:t>
            </w:r>
          </w:p>
        </w:tc>
      </w:tr>
    </w:tbl>
    <w:p w14:paraId="32961807" w14:textId="77777777" w:rsidR="00A03763" w:rsidRPr="00A03763" w:rsidRDefault="00A03763" w:rsidP="00CB01B5">
      <w:pPr>
        <w:spacing w:after="0" w:line="240" w:lineRule="auto"/>
        <w:rPr>
          <w:rFonts w:ascii="Arial" w:hAnsi="Arial" w:cs="Arial"/>
        </w:rPr>
      </w:pPr>
    </w:p>
    <w:sectPr w:rsidR="00A03763" w:rsidRPr="00A0376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aka, Krishna" w:date="2025-07-10T16:11:00Z" w:initials="KS">
    <w:p w14:paraId="783C52C5" w14:textId="77777777" w:rsidR="001E0E37" w:rsidRDefault="001E0E37" w:rsidP="001E0E37">
      <w:r>
        <w:rPr>
          <w:rStyle w:val="CommentReference"/>
        </w:rPr>
        <w:annotationRef/>
      </w:r>
      <w:r>
        <w:rPr>
          <w:sz w:val="20"/>
          <w:szCs w:val="20"/>
        </w:rPr>
        <w:t>Clinically, infectious disease specialists know that there are very few deaths from osteomyelitis itself, unless there is a soft tissue infection</w:t>
      </w:r>
    </w:p>
  </w:comment>
  <w:comment w:id="1" w:author="Sanaka, Krishna" w:date="2025-07-10T16:20:00Z" w:initials="KS">
    <w:p w14:paraId="5C1973FB" w14:textId="77777777" w:rsidR="001E0E37" w:rsidRDefault="001E0E37" w:rsidP="001E0E37">
      <w:r>
        <w:rPr>
          <w:rStyle w:val="CommentReference"/>
        </w:rPr>
        <w:annotationRef/>
      </w:r>
      <w:r>
        <w:rPr>
          <w:sz w:val="20"/>
          <w:szCs w:val="20"/>
        </w:rPr>
        <w:t xml:space="preserve">Also include the actual overall numbers ... </w:t>
      </w:r>
    </w:p>
    <w:p w14:paraId="5783540D" w14:textId="77777777" w:rsidR="001E0E37" w:rsidRDefault="001E0E37" w:rsidP="001E0E37"/>
    <w:p w14:paraId="643C57D4" w14:textId="77777777" w:rsidR="001E0E37" w:rsidRDefault="001E0E37" w:rsidP="001E0E37">
      <w:r>
        <w:rPr>
          <w:sz w:val="20"/>
          <w:szCs w:val="20"/>
        </w:rPr>
        <w:t>Is there any data about how many people are diagnosed with osteomyelitis underlying so and so comorbidity every year?</w:t>
      </w:r>
    </w:p>
    <w:p w14:paraId="7A024970" w14:textId="77777777" w:rsidR="001E0E37" w:rsidRDefault="001E0E37" w:rsidP="001E0E37"/>
    <w:p w14:paraId="44C83D55" w14:textId="77777777" w:rsidR="001E0E37" w:rsidRDefault="001E0E37" w:rsidP="001E0E37">
      <w:r>
        <w:rPr>
          <w:sz w:val="20"/>
          <w:szCs w:val="20"/>
        </w:rPr>
        <w:t>We think every year, x percent of people develop foot ulcers, and y amount of people develop osteomyelitis from that ulcer.</w:t>
      </w:r>
    </w:p>
    <w:p w14:paraId="50E5B215" w14:textId="77777777" w:rsidR="001E0E37" w:rsidRDefault="001E0E37" w:rsidP="001E0E37"/>
    <w:p w14:paraId="16ED9F0E" w14:textId="77777777" w:rsidR="001E0E37" w:rsidRDefault="001E0E37" w:rsidP="001E0E37">
      <w:r>
        <w:rPr>
          <w:sz w:val="20"/>
          <w:szCs w:val="20"/>
        </w:rPr>
        <w:t>But, death from osteomyelitis from this cause is rare, but it is going up.</w:t>
      </w:r>
    </w:p>
    <w:p w14:paraId="34FBA43E" w14:textId="77777777" w:rsidR="001E0E37" w:rsidRDefault="001E0E37" w:rsidP="001E0E37"/>
    <w:p w14:paraId="34D8B54B" w14:textId="77777777" w:rsidR="001E0E37" w:rsidRDefault="001E0E37" w:rsidP="001E0E37">
      <w:r>
        <w:rPr>
          <w:sz w:val="20"/>
          <w:szCs w:val="20"/>
        </w:rPr>
        <w:t>If I can find similar rates of other infectious diseases, I can say osteomyelitis is increasing by x percent, compare it to others in the discussion (make sure to contextualize).</w:t>
      </w:r>
    </w:p>
    <w:p w14:paraId="78AFBEC2" w14:textId="77777777" w:rsidR="001E0E37" w:rsidRDefault="001E0E37" w:rsidP="001E0E37"/>
    <w:p w14:paraId="09360161" w14:textId="77777777" w:rsidR="001E0E37" w:rsidRDefault="001E0E37" w:rsidP="001E0E37">
      <w:r>
        <w:rPr>
          <w:sz w:val="20"/>
          <w:szCs w:val="20"/>
        </w:rPr>
        <w:t>How many people die of sepsis, etc.</w:t>
      </w:r>
    </w:p>
    <w:p w14:paraId="77DFA51A" w14:textId="77777777" w:rsidR="001E0E37" w:rsidRDefault="001E0E37" w:rsidP="001E0E37"/>
    <w:p w14:paraId="59CDBF7E" w14:textId="77777777" w:rsidR="001E0E37" w:rsidRDefault="001E0E37" w:rsidP="001E0E37">
      <w:r>
        <w:rPr>
          <w:sz w:val="20"/>
          <w:szCs w:val="20"/>
        </w:rPr>
        <w:t>A lot of times, things like osteomyelitis underlies wounds, but these are difficult to manage in the United States</w:t>
      </w:r>
    </w:p>
    <w:p w14:paraId="453837F0" w14:textId="77777777" w:rsidR="001E0E37" w:rsidRDefault="001E0E37" w:rsidP="001E0E37"/>
    <w:p w14:paraId="18C6D2FF" w14:textId="77777777" w:rsidR="001E0E37" w:rsidRDefault="001E0E37" w:rsidP="001E0E37">
      <w:r>
        <w:rPr>
          <w:sz w:val="20"/>
          <w:szCs w:val="20"/>
        </w:rPr>
        <w:t>These diseases are more important than the deaths they cause.</w:t>
      </w:r>
    </w:p>
    <w:p w14:paraId="1E994E31" w14:textId="77777777" w:rsidR="001E0E37" w:rsidRDefault="001E0E37" w:rsidP="001E0E37"/>
    <w:p w14:paraId="7A596133" w14:textId="77777777" w:rsidR="001E0E37" w:rsidRDefault="001E0E37" w:rsidP="001E0E37">
      <w:r>
        <w:rPr>
          <w:sz w:val="20"/>
          <w:szCs w:val="20"/>
        </w:rPr>
        <w:t>Add things about wellbeing. Costly from the healthcare perspective but is also problematic for a variety of reasons</w:t>
      </w:r>
    </w:p>
    <w:p w14:paraId="51F2D298" w14:textId="77777777" w:rsidR="001E0E37" w:rsidRDefault="001E0E37" w:rsidP="001E0E37"/>
    <w:p w14:paraId="6B85EECD" w14:textId="77777777" w:rsidR="001E0E37" w:rsidRDefault="001E0E37" w:rsidP="001E0E37">
      <w:r>
        <w:rPr>
          <w:sz w:val="20"/>
          <w:szCs w:val="20"/>
        </w:rPr>
        <w:t>Yea, it doesn't kill a lot of people, but for those with this condition, even if they don't die, they and the system suffers quite a bit.</w:t>
      </w:r>
    </w:p>
    <w:p w14:paraId="0C2729A9" w14:textId="77777777" w:rsidR="001E0E37" w:rsidRDefault="001E0E37" w:rsidP="001E0E37"/>
    <w:p w14:paraId="5575DD2F" w14:textId="77777777" w:rsidR="001E0E37" w:rsidRDefault="001E0E37" w:rsidP="001E0E37">
      <w:r>
        <w:rPr>
          <w:sz w:val="20"/>
          <w:szCs w:val="20"/>
        </w:rPr>
        <w:t>The care is much more holistic for these people than just saving their life</w:t>
      </w:r>
    </w:p>
    <w:p w14:paraId="25B33509" w14:textId="77777777" w:rsidR="001E0E37" w:rsidRDefault="001E0E37" w:rsidP="001E0E37"/>
    <w:p w14:paraId="0CA7FB77" w14:textId="77777777" w:rsidR="001E0E37" w:rsidRDefault="001E0E37" w:rsidP="001E0E37">
      <w:r>
        <w:rPr>
          <w:sz w:val="20"/>
          <w:szCs w:val="20"/>
        </w:rPr>
        <w:t>People don't die of it, but they die with it, and it makes life a whole lot worse</w:t>
      </w:r>
    </w:p>
  </w:comment>
  <w:comment w:id="2" w:author="Sanaka, Krishna" w:date="2025-07-10T16:21:00Z" w:initials="KS">
    <w:p w14:paraId="17BBB470" w14:textId="77777777" w:rsidR="001E0E37" w:rsidRDefault="001E0E37" w:rsidP="001E0E37">
      <w:r>
        <w:rPr>
          <w:rStyle w:val="CommentReference"/>
        </w:rPr>
        <w:annotationRef/>
      </w:r>
      <w:r>
        <w:rPr>
          <w:sz w:val="20"/>
          <w:szCs w:val="20"/>
        </w:rPr>
        <w:t xml:space="preserve">Add the absolute numbers </w:t>
      </w:r>
    </w:p>
  </w:comment>
  <w:comment w:id="3" w:author="Sanaka, Krishna" w:date="2025-07-10T16:22:00Z" w:initials="KS">
    <w:p w14:paraId="16A96BE9" w14:textId="77777777" w:rsidR="0040343C" w:rsidRDefault="0040343C" w:rsidP="0040343C">
      <w:r>
        <w:rPr>
          <w:rStyle w:val="CommentReference"/>
        </w:rPr>
        <w:annotationRef/>
      </w:r>
      <w:r>
        <w:rPr>
          <w:sz w:val="20"/>
          <w:szCs w:val="20"/>
        </w:rPr>
        <w:t>Can add the figures as supplement</w:t>
      </w:r>
    </w:p>
  </w:comment>
  <w:comment w:id="4" w:author="Sanaka, Krishna" w:date="2025-07-10T16:22:00Z" w:initials="KS">
    <w:p w14:paraId="20360CF3" w14:textId="7D80E88F" w:rsidR="0040343C" w:rsidRDefault="0040343C" w:rsidP="0040343C">
      <w:r>
        <w:rPr>
          <w:rStyle w:val="CommentReference"/>
        </w:rPr>
        <w:annotationRef/>
      </w:r>
      <w:r>
        <w:rPr>
          <w:sz w:val="20"/>
          <w:szCs w:val="20"/>
        </w:rPr>
        <w:t>Say there are x amount of deaths in this age group and hence we did not analyze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3C52C5" w15:done="0"/>
  <w15:commentEx w15:paraId="0CA7FB77" w15:paraIdParent="783C52C5" w15:done="0"/>
  <w15:commentEx w15:paraId="17BBB470" w15:done="0"/>
  <w15:commentEx w15:paraId="16A96BE9" w15:done="0"/>
  <w15:commentEx w15:paraId="20360C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748255" w16cex:dateUtc="2025-07-10T14:11:00Z"/>
  <w16cex:commentExtensible w16cex:durableId="4DC5CD8C" w16cex:dateUtc="2025-07-10T14:20:00Z"/>
  <w16cex:commentExtensible w16cex:durableId="2CBD7F53" w16cex:dateUtc="2025-07-10T14:21:00Z"/>
  <w16cex:commentExtensible w16cex:durableId="23B13CDC" w16cex:dateUtc="2025-07-10T14:22:00Z"/>
  <w16cex:commentExtensible w16cex:durableId="4552B0E1" w16cex:dateUtc="2025-07-10T1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3C52C5" w16cid:durableId="6F748255"/>
  <w16cid:commentId w16cid:paraId="0CA7FB77" w16cid:durableId="4DC5CD8C"/>
  <w16cid:commentId w16cid:paraId="17BBB470" w16cid:durableId="2CBD7F53"/>
  <w16cid:commentId w16cid:paraId="16A96BE9" w16cid:durableId="23B13CDC"/>
  <w16cid:commentId w16cid:paraId="20360CF3" w16cid:durableId="4552B0E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aka, Krishna">
    <w15:presenceInfo w15:providerId="AD" w15:userId="S::KSANAKA@emory.edu::c298281a-8773-4c86-8bd6-58d5948b35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21B9"/>
    <w:rsid w:val="000407D4"/>
    <w:rsid w:val="00043363"/>
    <w:rsid w:val="000E71CE"/>
    <w:rsid w:val="000F24CD"/>
    <w:rsid w:val="00122143"/>
    <w:rsid w:val="0013524C"/>
    <w:rsid w:val="001517B1"/>
    <w:rsid w:val="00170E73"/>
    <w:rsid w:val="0017474C"/>
    <w:rsid w:val="001A2A11"/>
    <w:rsid w:val="001E0E37"/>
    <w:rsid w:val="001E2913"/>
    <w:rsid w:val="001F01CD"/>
    <w:rsid w:val="0026570B"/>
    <w:rsid w:val="00270591"/>
    <w:rsid w:val="002A1E45"/>
    <w:rsid w:val="002A617F"/>
    <w:rsid w:val="002E2695"/>
    <w:rsid w:val="0030239F"/>
    <w:rsid w:val="003059F8"/>
    <w:rsid w:val="00314DA8"/>
    <w:rsid w:val="003372E3"/>
    <w:rsid w:val="00341EA5"/>
    <w:rsid w:val="00343B6A"/>
    <w:rsid w:val="00366196"/>
    <w:rsid w:val="0038435A"/>
    <w:rsid w:val="0038523F"/>
    <w:rsid w:val="003A3EC6"/>
    <w:rsid w:val="003B2AC7"/>
    <w:rsid w:val="0040343C"/>
    <w:rsid w:val="00411782"/>
    <w:rsid w:val="00416846"/>
    <w:rsid w:val="00430A48"/>
    <w:rsid w:val="0044076F"/>
    <w:rsid w:val="00446B39"/>
    <w:rsid w:val="00473673"/>
    <w:rsid w:val="00474BDA"/>
    <w:rsid w:val="004A436F"/>
    <w:rsid w:val="004B437A"/>
    <w:rsid w:val="004F2038"/>
    <w:rsid w:val="0050358D"/>
    <w:rsid w:val="00522C37"/>
    <w:rsid w:val="00536884"/>
    <w:rsid w:val="0055342C"/>
    <w:rsid w:val="005640BC"/>
    <w:rsid w:val="00567225"/>
    <w:rsid w:val="00577B3D"/>
    <w:rsid w:val="005B6B20"/>
    <w:rsid w:val="005C5587"/>
    <w:rsid w:val="0063431D"/>
    <w:rsid w:val="00637FA6"/>
    <w:rsid w:val="0064174C"/>
    <w:rsid w:val="00657A4E"/>
    <w:rsid w:val="0068545D"/>
    <w:rsid w:val="006B1F72"/>
    <w:rsid w:val="006C3C16"/>
    <w:rsid w:val="0072586B"/>
    <w:rsid w:val="007477BB"/>
    <w:rsid w:val="007549DC"/>
    <w:rsid w:val="007A35B0"/>
    <w:rsid w:val="007A5484"/>
    <w:rsid w:val="007B116D"/>
    <w:rsid w:val="007B38FA"/>
    <w:rsid w:val="007C7F03"/>
    <w:rsid w:val="007D3066"/>
    <w:rsid w:val="00831D00"/>
    <w:rsid w:val="00881CEC"/>
    <w:rsid w:val="008B18B5"/>
    <w:rsid w:val="008D1DEC"/>
    <w:rsid w:val="009036A1"/>
    <w:rsid w:val="00911A05"/>
    <w:rsid w:val="00961141"/>
    <w:rsid w:val="0098392E"/>
    <w:rsid w:val="009905C2"/>
    <w:rsid w:val="009A1C6D"/>
    <w:rsid w:val="009B3AC7"/>
    <w:rsid w:val="009C6238"/>
    <w:rsid w:val="009D1A4D"/>
    <w:rsid w:val="009D7706"/>
    <w:rsid w:val="00A03763"/>
    <w:rsid w:val="00A12B2F"/>
    <w:rsid w:val="00A16D8D"/>
    <w:rsid w:val="00A6434F"/>
    <w:rsid w:val="00A67105"/>
    <w:rsid w:val="00A72867"/>
    <w:rsid w:val="00A87F1B"/>
    <w:rsid w:val="00AA06B9"/>
    <w:rsid w:val="00AF2FD1"/>
    <w:rsid w:val="00AF4602"/>
    <w:rsid w:val="00B31636"/>
    <w:rsid w:val="00B3348D"/>
    <w:rsid w:val="00B36ECB"/>
    <w:rsid w:val="00B72784"/>
    <w:rsid w:val="00BA2C89"/>
    <w:rsid w:val="00BC6EBE"/>
    <w:rsid w:val="00BF3D2C"/>
    <w:rsid w:val="00C06D86"/>
    <w:rsid w:val="00C22C0D"/>
    <w:rsid w:val="00C40AB3"/>
    <w:rsid w:val="00C4289E"/>
    <w:rsid w:val="00C439D1"/>
    <w:rsid w:val="00C6258D"/>
    <w:rsid w:val="00C738CB"/>
    <w:rsid w:val="00C73AD7"/>
    <w:rsid w:val="00C945E8"/>
    <w:rsid w:val="00CA057A"/>
    <w:rsid w:val="00CA0BBD"/>
    <w:rsid w:val="00CB01B5"/>
    <w:rsid w:val="00CC3B0A"/>
    <w:rsid w:val="00CC5C1F"/>
    <w:rsid w:val="00CD2740"/>
    <w:rsid w:val="00CF63F4"/>
    <w:rsid w:val="00D05813"/>
    <w:rsid w:val="00D70E13"/>
    <w:rsid w:val="00D762A0"/>
    <w:rsid w:val="00DA2CE3"/>
    <w:rsid w:val="00DA4EEC"/>
    <w:rsid w:val="00DA7105"/>
    <w:rsid w:val="00DD3328"/>
    <w:rsid w:val="00DE6041"/>
    <w:rsid w:val="00DE6EFD"/>
    <w:rsid w:val="00E26ADA"/>
    <w:rsid w:val="00E861C8"/>
    <w:rsid w:val="00E90E2F"/>
    <w:rsid w:val="00EA02EA"/>
    <w:rsid w:val="00EA439C"/>
    <w:rsid w:val="00EC4921"/>
    <w:rsid w:val="00EC7213"/>
    <w:rsid w:val="00EC7ACC"/>
    <w:rsid w:val="00EF1FB7"/>
    <w:rsid w:val="00EF77B8"/>
    <w:rsid w:val="00F06C7D"/>
    <w:rsid w:val="00F13AEE"/>
    <w:rsid w:val="00F30A86"/>
    <w:rsid w:val="00F335A2"/>
    <w:rsid w:val="00F44599"/>
    <w:rsid w:val="00F83DB5"/>
    <w:rsid w:val="00FB5E77"/>
    <w:rsid w:val="00FD6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529D84B3-EA5B-1840-979B-B11A05CC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0E37"/>
    <w:rPr>
      <w:sz w:val="16"/>
      <w:szCs w:val="16"/>
    </w:rPr>
  </w:style>
  <w:style w:type="paragraph" w:styleId="CommentText">
    <w:name w:val="annotation text"/>
    <w:basedOn w:val="Normal"/>
    <w:link w:val="CommentTextChar"/>
    <w:uiPriority w:val="99"/>
    <w:semiHidden/>
    <w:unhideWhenUsed/>
    <w:rsid w:val="001E0E37"/>
    <w:pPr>
      <w:spacing w:line="240" w:lineRule="auto"/>
    </w:pPr>
    <w:rPr>
      <w:sz w:val="20"/>
      <w:szCs w:val="20"/>
    </w:rPr>
  </w:style>
  <w:style w:type="character" w:customStyle="1" w:styleId="CommentTextChar">
    <w:name w:val="Comment Text Char"/>
    <w:basedOn w:val="DefaultParagraphFont"/>
    <w:link w:val="CommentText"/>
    <w:uiPriority w:val="99"/>
    <w:semiHidden/>
    <w:rsid w:val="001E0E37"/>
    <w:rPr>
      <w:sz w:val="20"/>
      <w:szCs w:val="20"/>
    </w:rPr>
  </w:style>
  <w:style w:type="paragraph" w:styleId="CommentSubject">
    <w:name w:val="annotation subject"/>
    <w:basedOn w:val="CommentText"/>
    <w:next w:val="CommentText"/>
    <w:link w:val="CommentSubjectChar"/>
    <w:uiPriority w:val="99"/>
    <w:semiHidden/>
    <w:unhideWhenUsed/>
    <w:rsid w:val="001E0E37"/>
    <w:rPr>
      <w:b/>
      <w:bCs/>
    </w:rPr>
  </w:style>
  <w:style w:type="character" w:customStyle="1" w:styleId="CommentSubjectChar">
    <w:name w:val="Comment Subject Char"/>
    <w:basedOn w:val="CommentTextChar"/>
    <w:link w:val="CommentSubject"/>
    <w:uiPriority w:val="99"/>
    <w:semiHidden/>
    <w:rsid w:val="001E0E3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1296</Words>
  <Characters>7041</Characters>
  <Application>Microsoft Office Word</Application>
  <DocSecurity>0</DocSecurity>
  <Lines>586</Lines>
  <Paragraphs>521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3</cp:revision>
  <dcterms:created xsi:type="dcterms:W3CDTF">2025-07-10T14:10:00Z</dcterms:created>
  <dcterms:modified xsi:type="dcterms:W3CDTF">2025-07-10T15:38:00Z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id="5ArnBmzy"/&gt;&lt;style id="http://www.zotero.org/styles/american-medical-association" hasBibliography="1" bibliographyStyleHasBeenSet="0"/&gt;&lt;prefs&gt;&lt;pref name="fieldType" value="Field"/&gt;&lt;pref name="auto</vt:lpwstr>
  </property>
  <property fmtid="{D5CDD505-2E9C-101B-9397-08002B2CF9AE}" pid="3" name="ZOTERO_PREF_2">
    <vt:lpwstr>maticJournalAbbreviations" value="true"/&gt;&lt;/prefs&gt;&lt;/data&gt;</vt:lpwstr>
  </property>
</Properties>
</file>