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0E0C445F"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549FD4A3" w:rsidR="00A03763" w:rsidRDefault="005357D3" w:rsidP="00E861C8">
      <w:pPr>
        <w:spacing w:line="480" w:lineRule="auto"/>
        <w:rPr>
          <w:rFonts w:ascii="Arial" w:hAnsi="Arial" w:cs="Arial"/>
        </w:rPr>
      </w:pPr>
      <w:commentRangeStart w:id="0"/>
      <w:r w:rsidRPr="005357D3">
        <w:rPr>
          <w:rFonts w:ascii="Arial" w:hAnsi="Arial" w:cs="Arial"/>
        </w:rPr>
        <w:t xml:space="preserve">Osteomyelitis-related mortality in the United States increased from 1999 to 2023, especially after 2015. Using CDC data, we found rising age-adjusted mortality across demographic groups and comorbidities, particularly diabetes and trauma. </w:t>
      </w:r>
      <w:commentRangeEnd w:id="0"/>
      <w:r w:rsidR="00D42EB0">
        <w:rPr>
          <w:rStyle w:val="CommentReference"/>
        </w:rPr>
        <w:commentReference w:id="0"/>
      </w:r>
      <w:r w:rsidRPr="005357D3">
        <w:rPr>
          <w:rFonts w:ascii="Arial" w:hAnsi="Arial" w:cs="Arial"/>
        </w:rPr>
        <w:t>These trends highlight the need for improved surveillance, wound prevention, and multidisciplinary care for this increasingly burdensome infection.</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r>
        <w:rPr>
          <w:rFonts w:ascii="Arial" w:hAnsi="Arial" w:cs="Arial"/>
          <w:b/>
          <w:bCs/>
        </w:rPr>
        <w:lastRenderedPageBreak/>
        <w:t>Main Body:</w:t>
      </w:r>
    </w:p>
    <w:p w14:paraId="579090D4" w14:textId="67CE0F3C" w:rsidR="00D92973" w:rsidRDefault="00D92973" w:rsidP="00E861C8">
      <w:pPr>
        <w:spacing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of the bone that remains a major clinical challenge </w:t>
      </w:r>
      <w:r w:rsidR="00E90026">
        <w:rPr>
          <w:rFonts w:ascii="Arial" w:hAnsi="Arial" w:cs="Arial"/>
        </w:rPr>
        <w:t xml:space="preserve">due to its chronicity, diagnostic complexity, and </w:t>
      </w:r>
      <w:r w:rsidR="00B06E59">
        <w:rPr>
          <w:rFonts w:ascii="Arial" w:hAnsi="Arial" w:cs="Arial"/>
        </w:rPr>
        <w:t>potential for severe morbidity and</w:t>
      </w:r>
      <w:r w:rsidR="00245F9B">
        <w:rPr>
          <w:rFonts w:ascii="Arial" w:hAnsi="Arial" w:cs="Arial"/>
        </w:rPr>
        <w:t xml:space="preserve"> mortality.</w:t>
      </w:r>
      <w:r w:rsidR="00B06E59">
        <w:rPr>
          <w:rFonts w:ascii="Arial" w:hAnsi="Arial" w:cs="Arial"/>
        </w:rPr>
        <w:fldChar w:fldCharType="begin"/>
      </w:r>
      <w:r w:rsidR="00B06E59">
        <w:rPr>
          <w:rFonts w:ascii="Arial" w:hAnsi="Arial" w:cs="Arial"/>
        </w:rPr>
        <w:instrText xml:space="preserve"> ADDIN ZOTERO_ITEM CSL_CITATION {"citationID":"ni9JzGOB","properties":{"formattedCitation":"\\super 1,2\\nosupersub{}","plainCitation":"1,2","noteIndex":0},"citationItems":[{"id":5584,"uris":["http://zotero.org/groups/5952805/items/4US3XQ7H"],"itemData":{"id":5584,"type":"article-journal","collection-title":"Bone and Joint Infections","container-title":"Infectious Disease Clinics of North America","DOI":"10.1016/j.idc.2017.01.010","ISSN":"0891-5520","issue":"2","journalAbbreviation":"Infectious Disease Clinics of North America","page":"325-338","source":"ScienceDirect","title":"Osteomyelitis","volume":"31","author":[{"family":"Schmitt","given":"Steven K."}],"issued":{"date-parts":[["2017",6,1]]}}},{"id":5589,"uris":["http://zotero.org/groups/5952805/items/JVWCQKQV"],"itemData":{"id":5589,"type":"article-journal","abstract":"Osteomyelitis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M."}],"issued":{"date-parts":[["2021",10,1]]}}}],"schema":"https://github.com/citation-style-language/schema/raw/master/csl-citation.json"} </w:instrText>
      </w:r>
      <w:r w:rsidR="00B06E59">
        <w:rPr>
          <w:rFonts w:ascii="Arial" w:hAnsi="Arial" w:cs="Arial"/>
        </w:rPr>
        <w:fldChar w:fldCharType="separate"/>
      </w:r>
      <w:r w:rsidR="00B06E59" w:rsidRPr="00B06E59">
        <w:rPr>
          <w:rFonts w:ascii="Arial" w:hAnsi="Arial" w:cs="Arial"/>
          <w:kern w:val="0"/>
          <w:vertAlign w:val="superscript"/>
        </w:rPr>
        <w:t>1,2</w:t>
      </w:r>
      <w:r w:rsidR="00B06E59">
        <w:rPr>
          <w:rFonts w:ascii="Arial" w:hAnsi="Arial" w:cs="Arial"/>
        </w:rPr>
        <w:fldChar w:fldCharType="end"/>
      </w:r>
      <w:r w:rsidR="00D15E8D">
        <w:rPr>
          <w:rFonts w:ascii="Arial" w:hAnsi="Arial" w:cs="Arial"/>
        </w:rPr>
        <w:t xml:space="preserve"> </w:t>
      </w:r>
      <w:r w:rsidR="001549D8">
        <w:rPr>
          <w:rFonts w:ascii="Arial" w:hAnsi="Arial" w:cs="Arial"/>
        </w:rPr>
        <w:t xml:space="preserve">While it can occur </w:t>
      </w:r>
      <w:r w:rsidR="00052CDB">
        <w:rPr>
          <w:rFonts w:ascii="Arial" w:hAnsi="Arial" w:cs="Arial"/>
        </w:rPr>
        <w:t xml:space="preserve">due to a variety of causes, including hematogenous spread or direct inoculation,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 immobility</w:t>
      </w:r>
      <w:r w:rsidR="005915E7">
        <w:rPr>
          <w:rFonts w:ascii="Arial" w:hAnsi="Arial" w:cs="Arial"/>
        </w:rPr>
        <w:t xml:space="preserve"> </w:t>
      </w:r>
      <w:r w:rsidR="00A30D92">
        <w:rPr>
          <w:rFonts w:ascii="Arial" w:hAnsi="Arial" w:cs="Arial"/>
        </w:rPr>
        <w:t>and</w:t>
      </w:r>
      <w:r w:rsidR="00696B92">
        <w:rPr>
          <w:rFonts w:ascii="Arial" w:hAnsi="Arial" w:cs="Arial"/>
        </w:rPr>
        <w:t xml:space="preserve"> certain demographic factors </w:t>
      </w:r>
      <w:r w:rsidR="005B4BA7">
        <w:rPr>
          <w:rFonts w:ascii="Arial" w:hAnsi="Arial" w:cs="Arial"/>
        </w:rPr>
        <w:t>including male sex</w:t>
      </w:r>
      <w:r w:rsidR="0017492D">
        <w:rPr>
          <w:rFonts w:ascii="Arial" w:hAnsi="Arial" w:cs="Arial"/>
        </w:rPr>
        <w:t>.</w:t>
      </w:r>
      <w:r w:rsidR="00BA0111">
        <w:rPr>
          <w:rFonts w:ascii="Arial" w:hAnsi="Arial" w:cs="Arial"/>
        </w:rPr>
        <w:fldChar w:fldCharType="begin"/>
      </w:r>
      <w:r w:rsidR="00081F39">
        <w:rPr>
          <w:rFonts w:ascii="Arial" w:hAnsi="Arial" w:cs="Arial"/>
        </w:rPr>
        <w:instrText xml:space="preserve"> ADDIN ZOTERO_ITEM CSL_CITATION {"citationID":"kiDS5WzN","properties":{"formattedCitation":"\\super 3\\nosupersub{}","plainCitation":"3","noteIndex":0},"citationItems":[{"id":5593,"uris":["http://zotero.org/groups/5952805/items/WL4MM7XI"],"itemData":{"id":5593,"type":"article-journal","abstract":"Osteomyelitis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081F39" w:rsidRPr="00081F39">
        <w:rPr>
          <w:rFonts w:ascii="Arial" w:hAnsi="Arial" w:cs="Arial"/>
          <w:kern w:val="0"/>
          <w:vertAlign w:val="superscript"/>
        </w:rPr>
        <w:t>3</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26049F">
        <w:rPr>
          <w:rFonts w:ascii="Arial" w:hAnsi="Arial" w:cs="Arial"/>
        </w:rPr>
        <w:t xml:space="preserve">in the United States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277EBC">
        <w:rPr>
          <w:rFonts w:ascii="Arial" w:hAnsi="Arial" w:cs="Arial"/>
        </w:rPr>
        <w:instrText xml:space="preserve"> ADDIN ZOTERO_ITEM CSL_CITATION {"citationID":"TfcO66PX","properties":{"formattedCitation":"\\super 4\\nosupersub{}","plainCitation":"4","noteIndex":0},"citationItems":[{"id":5878,"uris":["http://zotero.org/groups/5952805/items/XGFQT5RX"],"itemData":{"id":5878,"type":"article-journal","abstract":"Background:\nThe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77EBC" w:rsidRPr="00277EBC">
        <w:rPr>
          <w:rFonts w:ascii="Arial" w:hAnsi="Arial" w:cs="Arial"/>
          <w:kern w:val="0"/>
          <w:vertAlign w:val="superscript"/>
        </w:rPr>
        <w:t>4</w:t>
      </w:r>
      <w:r w:rsidR="00277EBC">
        <w:rPr>
          <w:rFonts w:ascii="Arial" w:hAnsi="Arial" w:cs="Arial"/>
        </w:rPr>
        <w:fldChar w:fldCharType="end"/>
      </w:r>
    </w:p>
    <w:p w14:paraId="632806D7" w14:textId="691EB454" w:rsidR="00277EBC" w:rsidRDefault="00277EBC" w:rsidP="00E861C8">
      <w:pPr>
        <w:spacing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70E21">
        <w:rPr>
          <w:rFonts w:ascii="Arial" w:hAnsi="Arial" w:cs="Arial"/>
        </w:rPr>
        <w:t xml:space="preserve">case count, </w:t>
      </w:r>
      <w:r w:rsidR="00ED64D4">
        <w:rPr>
          <w:rFonts w:ascii="Arial" w:hAnsi="Arial" w:cs="Arial"/>
        </w:rPr>
        <w:t xml:space="preserve">the </w:t>
      </w:r>
      <w:r w:rsidR="0009075C">
        <w:rPr>
          <w:rFonts w:ascii="Arial" w:hAnsi="Arial" w:cs="Arial"/>
        </w:rPr>
        <w:t xml:space="preserve">national mortality burden of osteomyelitis is poorly characterized.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08611B">
        <w:rPr>
          <w:rFonts w:ascii="Arial" w:hAnsi="Arial" w:cs="Arial"/>
        </w:rPr>
        <w:t xml:space="preserve">limited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not well understood. </w:t>
      </w:r>
      <w:r w:rsidR="00CE57E1">
        <w:rPr>
          <w:rFonts w:ascii="Arial" w:hAnsi="Arial" w:cs="Arial"/>
        </w:rPr>
        <w:t>Therefore, a comprehensive assessment of these trends is warranted</w:t>
      </w:r>
      <w:r w:rsidR="005A5435">
        <w:rPr>
          <w:rFonts w:ascii="Arial" w:hAnsi="Arial" w:cs="Arial"/>
        </w:rPr>
        <w:t xml:space="preserve"> to inform national-level estimates and improve the disease burden quantification of osteomyelitis</w:t>
      </w:r>
      <w:r w:rsidR="00CE57E1">
        <w:rPr>
          <w:rFonts w:ascii="Arial" w:hAnsi="Arial" w:cs="Arial"/>
        </w:rPr>
        <w:t>.</w:t>
      </w:r>
      <w:r w:rsidR="00313D52">
        <w:rPr>
          <w:rFonts w:ascii="Arial" w:hAnsi="Arial" w:cs="Arial"/>
        </w:rPr>
        <w:t xml:space="preserve"> </w:t>
      </w:r>
    </w:p>
    <w:p w14:paraId="0CA9AEB3" w14:textId="07A7B8D2" w:rsidR="00270F5A" w:rsidRDefault="00270F5A" w:rsidP="00E861C8">
      <w:pPr>
        <w:spacing w:line="480" w:lineRule="auto"/>
        <w:rPr>
          <w:rFonts w:ascii="Arial" w:hAnsi="Arial" w:cs="Arial"/>
        </w:rPr>
      </w:pPr>
      <w:r>
        <w:rPr>
          <w:rFonts w:ascii="Arial" w:hAnsi="Arial" w:cs="Arial"/>
        </w:rPr>
        <w:tab/>
      </w:r>
      <w:r w:rsidR="00CF0778">
        <w:rPr>
          <w:rFonts w:ascii="Arial" w:hAnsi="Arial" w:cs="Arial"/>
        </w:rPr>
        <w:t xml:space="preserve">Using comprehensive national mortality data from the United States, we </w:t>
      </w:r>
      <w:r w:rsidR="003B2787">
        <w:rPr>
          <w:rFonts w:ascii="Arial" w:hAnsi="Arial" w:cs="Arial"/>
        </w:rPr>
        <w:t xml:space="preserve">examined trends </w:t>
      </w:r>
      <w:r w:rsidR="00917C27">
        <w:rPr>
          <w:rFonts w:ascii="Arial" w:hAnsi="Arial" w:cs="Arial"/>
        </w:rPr>
        <w:t xml:space="preserve">in osteomyelitis-related deaths in the United States from 1999 to </w:t>
      </w:r>
      <w:r w:rsidR="009763E9">
        <w:rPr>
          <w:rFonts w:ascii="Arial" w:hAnsi="Arial" w:cs="Arial"/>
        </w:rPr>
        <w:t xml:space="preserve">2023. We aimed to quantify changes </w:t>
      </w:r>
      <w:r w:rsidR="002E4807">
        <w:rPr>
          <w:rFonts w:ascii="Arial" w:hAnsi="Arial" w:cs="Arial"/>
        </w:rPr>
        <w:t>in age-adjusted mortality rates (AAMRs)</w:t>
      </w:r>
      <w:r w:rsidR="00F96220">
        <w:rPr>
          <w:rFonts w:ascii="Arial" w:hAnsi="Arial" w:cs="Arial"/>
        </w:rPr>
        <w:t xml:space="preserve">, assess demographic disparities, </w:t>
      </w:r>
      <w:r w:rsidR="004956DC">
        <w:rPr>
          <w:rFonts w:ascii="Arial" w:hAnsi="Arial" w:cs="Arial"/>
        </w:rPr>
        <w:t xml:space="preserve">evaluate common comorbidities, </w:t>
      </w:r>
      <w:r w:rsidR="00ED2BEC">
        <w:rPr>
          <w:rFonts w:ascii="Arial" w:hAnsi="Arial" w:cs="Arial"/>
        </w:rPr>
        <w:t>and com</w:t>
      </w:r>
      <w:r w:rsidR="008D549E">
        <w:rPr>
          <w:rFonts w:ascii="Arial" w:hAnsi="Arial" w:cs="Arial"/>
        </w:rPr>
        <w:t>pare mortality trends before and after the transition to</w:t>
      </w:r>
      <w:r w:rsidR="00816215">
        <w:rPr>
          <w:rFonts w:ascii="Arial" w:hAnsi="Arial" w:cs="Arial"/>
        </w:rPr>
        <w:t xml:space="preserve"> </w:t>
      </w:r>
      <w:r w:rsidR="00FB014F">
        <w:rPr>
          <w:rFonts w:ascii="Arial" w:hAnsi="Arial" w:cs="Arial"/>
        </w:rPr>
        <w:t>International Classification of Diseases, 10</w:t>
      </w:r>
      <w:r w:rsidR="00FB014F" w:rsidRPr="003A3EC6">
        <w:rPr>
          <w:rFonts w:ascii="Arial" w:hAnsi="Arial" w:cs="Arial"/>
          <w:vertAlign w:val="superscript"/>
        </w:rPr>
        <w:t>th</w:t>
      </w:r>
      <w:r w:rsidR="00FB014F">
        <w:rPr>
          <w:rFonts w:ascii="Arial" w:hAnsi="Arial" w:cs="Arial"/>
        </w:rPr>
        <w:t xml:space="preserve"> Edition (ICD-10) coding </w:t>
      </w:r>
      <w:r w:rsidR="00F51F08">
        <w:rPr>
          <w:rFonts w:ascii="Arial" w:hAnsi="Arial" w:cs="Arial"/>
        </w:rPr>
        <w:t>in 2015.</w:t>
      </w:r>
    </w:p>
    <w:p w14:paraId="2BCF77D2" w14:textId="4DA04A57" w:rsidR="00DE3192" w:rsidRDefault="00FD6D98" w:rsidP="00E861C8">
      <w:pPr>
        <w:spacing w:line="480" w:lineRule="auto"/>
        <w:rPr>
          <w:rFonts w:ascii="Arial" w:hAnsi="Arial" w:cs="Arial"/>
        </w:rPr>
      </w:pPr>
      <w:bookmarkStart w:id="1" w:name="_Hlk203458613"/>
      <w:r>
        <w:rPr>
          <w:rFonts w:ascii="Arial" w:hAnsi="Arial" w:cs="Arial"/>
        </w:rPr>
        <w:lastRenderedPageBreak/>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 xml:space="preserve">resident deaths from osteomyelitis with any of the following </w:t>
      </w:r>
      <w:r w:rsidR="00632A53">
        <w:rPr>
          <w:rFonts w:ascii="Arial" w:hAnsi="Arial" w:cs="Arial"/>
        </w:rPr>
        <w:t xml:space="preserve">ICD-10 </w:t>
      </w:r>
      <w:r w:rsidR="003A3EC6">
        <w:rPr>
          <w:rFonts w:ascii="Arial" w:hAnsi="Arial" w:cs="Arial"/>
        </w:rPr>
        <w:t xml:space="preserve">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A3253E">
        <w:rPr>
          <w:rFonts w:ascii="Arial" w:hAnsi="Arial" w:cs="Arial"/>
        </w:rPr>
        <w:t xml:space="preserve">AAMRs </w:t>
      </w:r>
      <w:r w:rsidR="003059F8">
        <w:rPr>
          <w:rFonts w:ascii="Arial" w:hAnsi="Arial" w:cs="Arial"/>
        </w:rPr>
        <w:t xml:space="preserve">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peripheral vascular disease (ICD-10:</w:t>
      </w:r>
      <w:r w:rsidR="00750F65">
        <w:rPr>
          <w:rFonts w:ascii="Arial" w:hAnsi="Arial" w:cs="Arial"/>
        </w:rPr>
        <w:t xml:space="preserve"> I73.9</w:t>
      </w:r>
      <w:r w:rsidR="007C7F03">
        <w:rPr>
          <w:rFonts w:ascii="Arial" w:hAnsi="Arial" w:cs="Arial"/>
        </w:rPr>
        <w:t xml:space="preserve">),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ICD-10: M46.2-M46.4)</w:t>
      </w:r>
      <w:r w:rsidR="00961063">
        <w:rPr>
          <w:rFonts w:ascii="Arial" w:hAnsi="Arial" w:cs="Arial"/>
        </w:rPr>
        <w:t xml:space="preserve"> due to their association with osteomyelitis</w:t>
      </w:r>
      <w:r w:rsidR="004F2038">
        <w:rPr>
          <w:rFonts w:ascii="Arial" w:hAnsi="Arial" w:cs="Arial"/>
        </w:rPr>
        <w:t>.</w:t>
      </w:r>
    </w:p>
    <w:p w14:paraId="214A7E27" w14:textId="27C01520" w:rsidR="00DE3192" w:rsidRDefault="00BD5821" w:rsidP="00DE3192">
      <w:pPr>
        <w:spacing w:line="480" w:lineRule="auto"/>
        <w:ind w:firstLine="720"/>
        <w:rPr>
          <w:rFonts w:ascii="Arial" w:hAnsi="Arial" w:cs="Arial"/>
        </w:rPr>
      </w:pPr>
      <w:r>
        <w:rPr>
          <w:rFonts w:ascii="Arial" w:hAnsi="Arial" w:cs="Arial"/>
        </w:rPr>
        <w:t>For the overall trend in AAMR for osteomyelitis from 1999 to 202</w:t>
      </w:r>
      <w:r w:rsidR="00FA0863">
        <w:rPr>
          <w:rFonts w:ascii="Arial" w:hAnsi="Arial" w:cs="Arial"/>
        </w:rPr>
        <w:t>3</w:t>
      </w:r>
      <w:r>
        <w:rPr>
          <w:rFonts w:ascii="Arial" w:hAnsi="Arial" w:cs="Arial"/>
        </w:rPr>
        <w:t>, separate analyses were also conducted for the years 1999 to 2015 and 2016 to 202</w:t>
      </w:r>
      <w:r w:rsidR="00DF37BC">
        <w:rPr>
          <w:rFonts w:ascii="Arial" w:hAnsi="Arial" w:cs="Arial"/>
        </w:rPr>
        <w:t>3</w:t>
      </w:r>
      <w:r>
        <w:rPr>
          <w:rFonts w:ascii="Arial" w:hAnsi="Arial" w:cs="Arial"/>
        </w:rPr>
        <w:t xml:space="preserve"> to account for the switch in coding from the International Classification of Diseases, 9</w:t>
      </w:r>
      <w:r w:rsidRPr="00BD5821">
        <w:rPr>
          <w:rFonts w:ascii="Arial" w:hAnsi="Arial" w:cs="Arial"/>
          <w:vertAlign w:val="superscript"/>
        </w:rPr>
        <w:t>th</w:t>
      </w:r>
      <w:r>
        <w:rPr>
          <w:rFonts w:ascii="Arial" w:hAnsi="Arial" w:cs="Arial"/>
        </w:rPr>
        <w:t xml:space="preserve"> Edition to ICD-10.</w:t>
      </w:r>
    </w:p>
    <w:p w14:paraId="7C918723" w14:textId="6AF3FBD1" w:rsidR="00BD5821" w:rsidRDefault="00DE3192" w:rsidP="00DE3192">
      <w:pPr>
        <w:spacing w:line="480" w:lineRule="auto"/>
        <w:ind w:firstLine="720"/>
        <w:rPr>
          <w:rFonts w:ascii="Arial" w:hAnsi="Arial" w:cs="Arial"/>
        </w:rPr>
      </w:pPr>
      <w:r>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Pr>
          <w:rFonts w:ascii="Arial" w:hAnsi="Arial" w:cs="Arial"/>
        </w:rPr>
        <w:t xml:space="preserve">, Austria). All code for statistical analysis is available at </w:t>
      </w:r>
      <w:r w:rsidRPr="00DE3192">
        <w:rPr>
          <w:rFonts w:ascii="Arial" w:hAnsi="Arial" w:cs="Arial"/>
        </w:rPr>
        <w:t>https://github.com/k-sanaka/cdcwonder_osteomyelitis.</w:t>
      </w:r>
    </w:p>
    <w:p w14:paraId="45ACBD6A" w14:textId="0EF72FEA" w:rsidR="005301C7" w:rsidRDefault="00AC3AE2" w:rsidP="00E861C8">
      <w:pPr>
        <w:spacing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E26258">
        <w:rPr>
          <w:rFonts w:ascii="Arial" w:hAnsi="Arial" w:cs="Arial"/>
        </w:rPr>
        <w:t>.</w:t>
      </w:r>
      <w:r w:rsidR="00260EBD">
        <w:rPr>
          <w:rFonts w:ascii="Arial" w:hAnsi="Arial" w:cs="Arial"/>
        </w:rPr>
        <w:t xml:space="preserve"> </w:t>
      </w:r>
      <w:r w:rsidR="000E0326">
        <w:rPr>
          <w:rFonts w:ascii="Arial" w:hAnsi="Arial" w:cs="Arial"/>
        </w:rPr>
        <w:t xml:space="preserve">Over the study period, </w:t>
      </w:r>
      <w:r w:rsidR="00D917FB">
        <w:rPr>
          <w:rFonts w:ascii="Arial" w:hAnsi="Arial" w:cs="Arial"/>
        </w:rPr>
        <w:t>54.02</w:t>
      </w:r>
      <w:r w:rsidR="005E6A1F">
        <w:rPr>
          <w:rFonts w:ascii="Arial" w:hAnsi="Arial" w:cs="Arial"/>
        </w:rPr>
        <w:t xml:space="preserve">% of </w:t>
      </w:r>
      <w:r w:rsidR="0048038F">
        <w:rPr>
          <w:rFonts w:ascii="Arial" w:hAnsi="Arial" w:cs="Arial"/>
        </w:rPr>
        <w:lastRenderedPageBreak/>
        <w:t>these deaths</w:t>
      </w:r>
      <w:r w:rsidR="00B9359C">
        <w:rPr>
          <w:rFonts w:ascii="Arial" w:hAnsi="Arial" w:cs="Arial"/>
        </w:rPr>
        <w:t xml:space="preserve"> </w:t>
      </w:r>
      <w:r w:rsidR="007C1961">
        <w:rPr>
          <w:rFonts w:ascii="Arial" w:hAnsi="Arial" w:cs="Arial"/>
        </w:rPr>
        <w:t xml:space="preserve">were among </w:t>
      </w:r>
      <w:r w:rsidR="00E01FF8">
        <w:rPr>
          <w:rFonts w:ascii="Arial" w:hAnsi="Arial" w:cs="Arial"/>
        </w:rPr>
        <w:t>men</w:t>
      </w:r>
      <w:r w:rsidR="007C1961">
        <w:rPr>
          <w:rFonts w:ascii="Arial" w:hAnsi="Arial" w:cs="Arial"/>
        </w:rPr>
        <w:t xml:space="preserve">, and </w:t>
      </w:r>
      <w:r w:rsidR="003E3600">
        <w:rPr>
          <w:rFonts w:ascii="Arial" w:hAnsi="Arial" w:cs="Arial"/>
        </w:rPr>
        <w:t>74.28</w:t>
      </w:r>
      <w:r w:rsidR="002A589A">
        <w:rPr>
          <w:rFonts w:ascii="Arial" w:hAnsi="Arial" w:cs="Arial"/>
        </w:rPr>
        <w:t>% of</w:t>
      </w:r>
      <w:r w:rsidR="00D45999">
        <w:rPr>
          <w:rFonts w:ascii="Arial" w:hAnsi="Arial" w:cs="Arial"/>
        </w:rPr>
        <w:t xml:space="preserve"> </w:t>
      </w:r>
      <w:r w:rsidR="00602B37">
        <w:rPr>
          <w:rFonts w:ascii="Arial" w:hAnsi="Arial" w:cs="Arial"/>
        </w:rPr>
        <w:t xml:space="preserve">decedents were </w:t>
      </w:r>
      <w:r w:rsidR="00F76361">
        <w:rPr>
          <w:rFonts w:ascii="Arial" w:hAnsi="Arial" w:cs="Arial"/>
        </w:rPr>
        <w:t xml:space="preserve">Non-Hispanic White. </w:t>
      </w:r>
      <w:r w:rsidR="000713FC">
        <w:rPr>
          <w:rFonts w:ascii="Arial" w:hAnsi="Arial" w:cs="Arial"/>
        </w:rPr>
        <w:t>Most</w:t>
      </w:r>
      <w:r w:rsidR="00C1294A">
        <w:rPr>
          <w:rFonts w:ascii="Arial" w:hAnsi="Arial" w:cs="Arial"/>
        </w:rPr>
        <w:t xml:space="preserve"> decedents were </w:t>
      </w:r>
      <w:r w:rsidR="000713FC">
        <w:rPr>
          <w:rFonts w:ascii="Arial" w:hAnsi="Arial" w:cs="Arial"/>
        </w:rPr>
        <w:t>65 years older (</w:t>
      </w:r>
      <w:r w:rsidR="00CA007F">
        <w:rPr>
          <w:rFonts w:ascii="Arial" w:hAnsi="Arial" w:cs="Arial"/>
        </w:rPr>
        <w:t>80.07</w:t>
      </w:r>
      <w:r w:rsidR="000713FC">
        <w:rPr>
          <w:rFonts w:ascii="Arial" w:hAnsi="Arial" w:cs="Arial"/>
        </w:rPr>
        <w:t xml:space="preserve">%). </w:t>
      </w:r>
      <w:r w:rsidR="005B53E5">
        <w:rPr>
          <w:rFonts w:ascii="Arial" w:hAnsi="Arial" w:cs="Arial"/>
        </w:rPr>
        <w:t xml:space="preserve">There were </w:t>
      </w:r>
      <w:r w:rsidR="00E248A5">
        <w:rPr>
          <w:rFonts w:ascii="Arial" w:hAnsi="Arial" w:cs="Arial"/>
        </w:rPr>
        <w:t>131,490</w:t>
      </w:r>
      <w:r w:rsidR="004F3568">
        <w:rPr>
          <w:rFonts w:ascii="Arial" w:hAnsi="Arial" w:cs="Arial"/>
        </w:rPr>
        <w:t xml:space="preserve"> deaths during the study period wherein </w:t>
      </w:r>
      <w:r w:rsidR="00FC19D9">
        <w:rPr>
          <w:rFonts w:ascii="Arial" w:hAnsi="Arial" w:cs="Arial"/>
        </w:rPr>
        <w:t xml:space="preserve">osteomyelitis was listed as a contributing cause. </w:t>
      </w:r>
      <w:r w:rsidR="0069346E">
        <w:rPr>
          <w:rFonts w:ascii="Arial" w:hAnsi="Arial" w:cs="Arial"/>
        </w:rPr>
        <w:t xml:space="preserve">Diabetes was the </w:t>
      </w:r>
      <w:r w:rsidR="00742BAA">
        <w:rPr>
          <w:rFonts w:ascii="Arial" w:hAnsi="Arial" w:cs="Arial"/>
        </w:rPr>
        <w:t>most assessed</w:t>
      </w:r>
      <w:r w:rsidR="0069346E">
        <w:rPr>
          <w:rFonts w:ascii="Arial" w:hAnsi="Arial" w:cs="Arial"/>
        </w:rPr>
        <w:t xml:space="preserve"> </w:t>
      </w:r>
      <w:r w:rsidR="00843A3C">
        <w:rPr>
          <w:rFonts w:ascii="Arial" w:hAnsi="Arial" w:cs="Arial"/>
        </w:rPr>
        <w:t xml:space="preserve">comorbidity, </w:t>
      </w:r>
      <w:r w:rsidR="00351AC6">
        <w:rPr>
          <w:rFonts w:ascii="Arial" w:hAnsi="Arial" w:cs="Arial"/>
        </w:rPr>
        <w:t xml:space="preserve">presenting on </w:t>
      </w:r>
      <w:r w:rsidR="00CD61B2">
        <w:rPr>
          <w:rFonts w:ascii="Arial" w:hAnsi="Arial" w:cs="Arial"/>
        </w:rPr>
        <w:t>29.63</w:t>
      </w:r>
      <w:r w:rsidR="00351AC6">
        <w:rPr>
          <w:rFonts w:ascii="Arial" w:hAnsi="Arial" w:cs="Arial"/>
        </w:rPr>
        <w:t xml:space="preserve">% of death certificates, </w:t>
      </w:r>
      <w:r w:rsidR="00742BAA">
        <w:rPr>
          <w:rFonts w:ascii="Arial" w:hAnsi="Arial" w:cs="Arial"/>
        </w:rPr>
        <w:t xml:space="preserve">while trauma only presented on </w:t>
      </w:r>
      <w:r w:rsidR="00F24080">
        <w:rPr>
          <w:rFonts w:ascii="Arial" w:hAnsi="Arial" w:cs="Arial"/>
        </w:rPr>
        <w:t>2.76</w:t>
      </w:r>
      <w:r w:rsidR="003B619A">
        <w:rPr>
          <w:rFonts w:ascii="Arial" w:hAnsi="Arial" w:cs="Arial"/>
        </w:rPr>
        <w:t>%.</w:t>
      </w:r>
    </w:p>
    <w:p w14:paraId="2D212524" w14:textId="18AD173E" w:rsidR="00003788" w:rsidRDefault="005301C7" w:rsidP="00E861C8">
      <w:pPr>
        <w:spacing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in 1999 to </w:t>
      </w:r>
      <w:r w:rsidR="00156CCE">
        <w:rPr>
          <w:rFonts w:ascii="Arial" w:hAnsi="Arial" w:cs="Arial"/>
        </w:rPr>
        <w:t>1.11</w:t>
      </w:r>
      <w:r w:rsidR="00126E33">
        <w:rPr>
          <w:rFonts w:ascii="Arial" w:hAnsi="Arial" w:cs="Arial"/>
        </w:rPr>
        <w:t xml:space="preserve"> in </w:t>
      </w:r>
      <w:r w:rsidR="009A4986">
        <w:rPr>
          <w:rFonts w:ascii="Arial" w:hAnsi="Arial" w:cs="Arial"/>
        </w:rPr>
        <w:t>202</w:t>
      </w:r>
      <w:r w:rsidR="00CA6788">
        <w:rPr>
          <w:rFonts w:ascii="Arial" w:hAnsi="Arial" w:cs="Arial"/>
        </w:rPr>
        <w:t>3</w:t>
      </w:r>
      <w:r w:rsidR="00A701C1">
        <w:rPr>
          <w:rFonts w:ascii="Arial" w:hAnsi="Arial" w:cs="Arial"/>
        </w:rPr>
        <w:t xml:space="preserve">, resulting in an APC of </w:t>
      </w:r>
      <w:r w:rsidR="00AC0EB7">
        <w:rPr>
          <w:rFonts w:ascii="Arial" w:hAnsi="Arial" w:cs="Arial"/>
        </w:rPr>
        <w:t>3.54</w:t>
      </w:r>
      <w:r w:rsidR="00DE5CE2">
        <w:rPr>
          <w:rFonts w:ascii="Arial" w:hAnsi="Arial" w:cs="Arial"/>
        </w:rPr>
        <w:t xml:space="preserve">% </w:t>
      </w:r>
      <w:r w:rsidR="000B3323">
        <w:rPr>
          <w:rFonts w:ascii="Arial" w:hAnsi="Arial" w:cs="Arial"/>
        </w:rPr>
        <w:t xml:space="preserve">(95% Confidence Interval [95% CI]: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0F3C6E">
        <w:rPr>
          <w:rFonts w:ascii="Arial" w:hAnsi="Arial" w:cs="Arial"/>
        </w:rPr>
        <w:t xml:space="preserve"> (</w:t>
      </w:r>
      <w:r w:rsidR="000F3C6E">
        <w:rPr>
          <w:rFonts w:ascii="Arial" w:hAnsi="Arial" w:cs="Arial"/>
          <w:b/>
          <w:bCs/>
        </w:rPr>
        <w:t>Table 1</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 xml:space="preserve">Male </w:t>
      </w:r>
      <w:r w:rsidR="00CE6F37">
        <w:rPr>
          <w:rFonts w:ascii="Arial" w:hAnsi="Arial" w:cs="Arial"/>
        </w:rPr>
        <w:t xml:space="preserve">residents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xml:space="preserve">, while female residents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residents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F66BD6">
        <w:rPr>
          <w:rFonts w:ascii="Arial" w:hAnsi="Arial" w:cs="Arial"/>
        </w:rPr>
        <w:t>R</w:t>
      </w:r>
      <w:r w:rsidR="00DF6C0C">
        <w:rPr>
          <w:rFonts w:ascii="Arial" w:hAnsi="Arial" w:cs="Arial"/>
        </w:rPr>
        <w:t xml:space="preserve">esidents aged </w:t>
      </w:r>
      <w:r w:rsidR="00585AE7">
        <w:rPr>
          <w:rFonts w:ascii="Arial" w:hAnsi="Arial" w:cs="Arial"/>
        </w:rPr>
        <w:t>35-64 years</w:t>
      </w:r>
      <w:r w:rsidR="008F585A">
        <w:rPr>
          <w:rFonts w:ascii="Arial" w:hAnsi="Arial" w:cs="Arial"/>
        </w:rPr>
        <w:t xml:space="preserve"> </w:t>
      </w:r>
      <w:r w:rsidR="00585AE7">
        <w:rPr>
          <w:rFonts w:ascii="Arial" w:hAnsi="Arial" w:cs="Arial"/>
        </w:rPr>
        <w:t xml:space="preserve">and </w:t>
      </w:r>
      <w:r w:rsidR="003D49D3">
        <w:rPr>
          <w:rFonts w:ascii="Arial" w:hAnsi="Arial" w:cs="Arial"/>
        </w:rPr>
        <w:t xml:space="preserve">65 years and older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The former group saw greater increases in mortality than the latter, with their</w:t>
      </w:r>
      <w:r w:rsidR="00EF3ED9">
        <w:rPr>
          <w:rFonts w:ascii="Arial" w:hAnsi="Arial" w:cs="Arial"/>
        </w:rPr>
        <w:t xml:space="preserve"> APCs</w:t>
      </w:r>
      <w:r w:rsidR="000D230D">
        <w:rPr>
          <w:rFonts w:ascii="Arial" w:hAnsi="Arial" w:cs="Arial"/>
        </w:rPr>
        <w:t xml:space="preserve"> in AAMR</w:t>
      </w:r>
      <w:r w:rsidR="00C57BB6">
        <w:rPr>
          <w:rFonts w:ascii="Arial" w:hAnsi="Arial" w:cs="Arial"/>
        </w:rPr>
        <w:t>s</w:t>
      </w:r>
      <w:r w:rsidR="00EF3ED9">
        <w:rPr>
          <w:rFonts w:ascii="Arial" w:hAnsi="Arial" w:cs="Arial"/>
        </w:rPr>
        <w:t xml:space="preserve"> being</w:t>
      </w:r>
      <w:r w:rsidR="00C57BB6">
        <w:rPr>
          <w:rFonts w:ascii="Arial" w:hAnsi="Arial" w:cs="Arial"/>
        </w:rPr>
        <w:t xml:space="preserve"> </w:t>
      </w:r>
      <w:r w:rsidR="005F3EE9">
        <w:rPr>
          <w:rFonts w:ascii="Arial" w:hAnsi="Arial" w:cs="Arial"/>
        </w:rPr>
        <w:t>6.08</w:t>
      </w:r>
      <w:r w:rsidR="00D20F90">
        <w:rPr>
          <w:rFonts w:ascii="Arial" w:hAnsi="Arial" w:cs="Arial"/>
        </w:rPr>
        <w:t>% (95% CI:</w:t>
      </w:r>
      <w:r w:rsidR="00F74E62">
        <w:rPr>
          <w:rFonts w:ascii="Arial" w:hAnsi="Arial" w:cs="Arial"/>
        </w:rPr>
        <w:t xml:space="preserve"> </w:t>
      </w:r>
      <w:r w:rsidR="004155EC">
        <w:rPr>
          <w:rFonts w:ascii="Arial" w:hAnsi="Arial" w:cs="Arial"/>
        </w:rPr>
        <w:t>5.47</w:t>
      </w:r>
      <w:r w:rsidR="00F74E62">
        <w:rPr>
          <w:rFonts w:ascii="Arial" w:hAnsi="Arial" w:cs="Arial"/>
        </w:rPr>
        <w:t xml:space="preserve">, </w:t>
      </w:r>
      <w:r w:rsidR="00F864A8">
        <w:rPr>
          <w:rFonts w:ascii="Arial" w:hAnsi="Arial" w:cs="Arial"/>
        </w:rPr>
        <w:t>6.7</w:t>
      </w:r>
      <w:r w:rsidR="00F74E62">
        <w:rPr>
          <w:rFonts w:ascii="Arial" w:hAnsi="Arial" w:cs="Arial"/>
        </w:rPr>
        <w:t xml:space="preserve">; p &lt; 0.001) and </w:t>
      </w:r>
      <w:r w:rsidR="003D39F1">
        <w:rPr>
          <w:rFonts w:ascii="Arial" w:hAnsi="Arial" w:cs="Arial"/>
        </w:rPr>
        <w:t>2.</w:t>
      </w:r>
      <w:r w:rsidR="005B7B63">
        <w:rPr>
          <w:rFonts w:ascii="Arial" w:hAnsi="Arial" w:cs="Arial"/>
        </w:rPr>
        <w:t>9</w:t>
      </w:r>
      <w:r w:rsidR="003D39F1">
        <w:rPr>
          <w:rFonts w:ascii="Arial" w:hAnsi="Arial" w:cs="Arial"/>
        </w:rPr>
        <w:t xml:space="preserve"> (95% CI: </w:t>
      </w:r>
      <w:r w:rsidR="00F95D71">
        <w:rPr>
          <w:rFonts w:ascii="Arial" w:hAnsi="Arial" w:cs="Arial"/>
        </w:rPr>
        <w:t>2.2</w:t>
      </w:r>
      <w:r w:rsidR="00964B02">
        <w:rPr>
          <w:rFonts w:ascii="Arial" w:hAnsi="Arial" w:cs="Arial"/>
        </w:rPr>
        <w:t xml:space="preserve">, </w:t>
      </w:r>
      <w:r w:rsidR="00F95D71">
        <w:rPr>
          <w:rFonts w:ascii="Arial" w:hAnsi="Arial" w:cs="Arial"/>
        </w:rPr>
        <w:t>3.6</w:t>
      </w:r>
      <w:r w:rsidR="00734807">
        <w:rPr>
          <w:rFonts w:ascii="Arial" w:hAnsi="Arial" w:cs="Arial"/>
        </w:rPr>
        <w:t>; p &lt; 0.001)</w:t>
      </w:r>
      <w:r w:rsidR="0026099C">
        <w:rPr>
          <w:rFonts w:ascii="Arial" w:hAnsi="Arial" w:cs="Arial"/>
        </w:rPr>
        <w:t>, respectively</w:t>
      </w:r>
      <w:r w:rsidR="006D11EE">
        <w:rPr>
          <w:rFonts w:ascii="Arial" w:hAnsi="Arial" w:cs="Arial"/>
        </w:rPr>
        <w:t>.</w:t>
      </w:r>
      <w:r w:rsidR="00D57FB9">
        <w:rPr>
          <w:rFonts w:ascii="Arial" w:hAnsi="Arial" w:cs="Arial"/>
        </w:rPr>
        <w:t xml:space="preserve"> </w:t>
      </w:r>
    </w:p>
    <w:p w14:paraId="57142965" w14:textId="1CB12781" w:rsidR="00185440" w:rsidRDefault="00185440" w:rsidP="00E861C8">
      <w:pPr>
        <w:spacing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However, it had a lower APC (APC: </w:t>
      </w:r>
      <w:r w:rsidR="005D76B7">
        <w:rPr>
          <w:rFonts w:ascii="Arial" w:hAnsi="Arial" w:cs="Arial"/>
        </w:rPr>
        <w:t>4.04</w:t>
      </w:r>
      <w:r w:rsidR="00953295" w:rsidRPr="00953295">
        <w:rPr>
          <w:rFonts w:ascii="Arial" w:hAnsi="Arial" w:cs="Arial"/>
        </w:rPr>
        <w:t xml:space="preserve">% [95% CI: </w:t>
      </w:r>
      <w:r w:rsidR="008624BB">
        <w:rPr>
          <w:rFonts w:ascii="Arial" w:hAnsi="Arial" w:cs="Arial"/>
        </w:rPr>
        <w:t>3.03</w:t>
      </w:r>
      <w:r w:rsidR="00953295" w:rsidRPr="00953295">
        <w:rPr>
          <w:rFonts w:ascii="Arial" w:hAnsi="Arial" w:cs="Arial"/>
        </w:rPr>
        <w:t xml:space="preserve">%, </w:t>
      </w:r>
      <w:r w:rsidR="008624BB">
        <w:rPr>
          <w:rFonts w:ascii="Arial" w:hAnsi="Arial" w:cs="Arial"/>
        </w:rPr>
        <w:t>5.07</w:t>
      </w:r>
      <w:r w:rsidR="00953295" w:rsidRPr="00953295">
        <w:rPr>
          <w:rFonts w:ascii="Arial" w:hAnsi="Arial" w:cs="Arial"/>
        </w:rPr>
        <w:t>%]; p &lt; 0.0</w:t>
      </w:r>
      <w:r w:rsidR="00127138">
        <w:rPr>
          <w:rFonts w:ascii="Arial" w:hAnsi="Arial" w:cs="Arial"/>
        </w:rPr>
        <w:t>0</w:t>
      </w:r>
      <w:r w:rsidR="00953295" w:rsidRPr="00953295">
        <w:rPr>
          <w:rFonts w:ascii="Arial" w:hAnsi="Arial" w:cs="Arial"/>
        </w:rPr>
        <w:t xml:space="preserve">1) than trauma-associated osteomyelitis (APC: </w:t>
      </w:r>
      <w:r w:rsidR="005166F1">
        <w:rPr>
          <w:rFonts w:ascii="Arial" w:hAnsi="Arial" w:cs="Arial"/>
        </w:rPr>
        <w:t>6.85</w:t>
      </w:r>
      <w:r w:rsidR="00953295" w:rsidRPr="00953295">
        <w:rPr>
          <w:rFonts w:ascii="Arial" w:hAnsi="Arial" w:cs="Arial"/>
        </w:rPr>
        <w:t xml:space="preserve">% [95% CI: </w:t>
      </w:r>
      <w:r w:rsidR="00C20096">
        <w:rPr>
          <w:rFonts w:ascii="Arial" w:hAnsi="Arial" w:cs="Arial"/>
        </w:rPr>
        <w:t>5.09</w:t>
      </w:r>
      <w:r w:rsidR="00953295" w:rsidRPr="00953295">
        <w:rPr>
          <w:rFonts w:ascii="Arial" w:hAnsi="Arial" w:cs="Arial"/>
        </w:rPr>
        <w:t>%, 8.</w:t>
      </w:r>
      <w:r w:rsidR="007D55E5">
        <w:rPr>
          <w:rFonts w:ascii="Arial" w:hAnsi="Arial" w:cs="Arial"/>
        </w:rPr>
        <w:t>64</w:t>
      </w:r>
      <w:r w:rsidR="00953295" w:rsidRPr="00953295">
        <w:rPr>
          <w:rFonts w:ascii="Arial" w:hAnsi="Arial" w:cs="Arial"/>
        </w:rPr>
        <w:t>%]; p &lt; 0.0</w:t>
      </w:r>
      <w:r w:rsidR="00267CF7">
        <w:rPr>
          <w:rFonts w:ascii="Arial" w:hAnsi="Arial" w:cs="Arial"/>
        </w:rPr>
        <w:t>0</w:t>
      </w:r>
      <w:r w:rsidR="00953295" w:rsidRPr="00953295">
        <w:rPr>
          <w:rFonts w:ascii="Arial" w:hAnsi="Arial" w:cs="Arial"/>
        </w:rPr>
        <w:t>1), decubitus ulcer-</w:t>
      </w:r>
      <w:r w:rsidR="00953295" w:rsidRPr="00953295">
        <w:rPr>
          <w:rFonts w:ascii="Arial" w:hAnsi="Arial" w:cs="Arial"/>
        </w:rPr>
        <w:lastRenderedPageBreak/>
        <w:t xml:space="preserve">associated osteomyelitis (APC: </w:t>
      </w:r>
      <w:r w:rsidR="00B12BD9">
        <w:rPr>
          <w:rFonts w:ascii="Arial" w:hAnsi="Arial" w:cs="Arial"/>
        </w:rPr>
        <w:t>6.17</w:t>
      </w:r>
      <w:r w:rsidR="00953295" w:rsidRPr="00953295">
        <w:rPr>
          <w:rFonts w:ascii="Arial" w:hAnsi="Arial" w:cs="Arial"/>
        </w:rPr>
        <w:t xml:space="preserve">% [95% CI: </w:t>
      </w:r>
      <w:r w:rsidR="000A0DDE">
        <w:rPr>
          <w:rFonts w:ascii="Arial" w:hAnsi="Arial" w:cs="Arial"/>
        </w:rPr>
        <w:t>5.32</w:t>
      </w:r>
      <w:r w:rsidR="00953295" w:rsidRPr="00953295">
        <w:rPr>
          <w:rFonts w:ascii="Arial" w:hAnsi="Arial" w:cs="Arial"/>
        </w:rPr>
        <w:t xml:space="preserve">%, </w:t>
      </w:r>
      <w:r w:rsidR="00A44C09">
        <w:rPr>
          <w:rFonts w:ascii="Arial" w:hAnsi="Arial" w:cs="Arial"/>
        </w:rPr>
        <w:t>7.04</w:t>
      </w:r>
      <w:r w:rsidR="00953295" w:rsidRPr="00953295">
        <w:rPr>
          <w:rFonts w:ascii="Arial" w:hAnsi="Arial" w:cs="Arial"/>
        </w:rPr>
        <w:t>%]; p &lt; 0.0</w:t>
      </w:r>
      <w:r w:rsidR="0004305F">
        <w:rPr>
          <w:rFonts w:ascii="Arial" w:hAnsi="Arial" w:cs="Arial"/>
        </w:rPr>
        <w:t>0</w:t>
      </w:r>
      <w:r w:rsidR="00953295" w:rsidRPr="00953295">
        <w:rPr>
          <w:rFonts w:ascii="Arial" w:hAnsi="Arial" w:cs="Arial"/>
        </w:rPr>
        <w:t xml:space="preserve">1), and vertebral osteomyelitis (APC: </w:t>
      </w:r>
      <w:r w:rsidR="005B39E5">
        <w:rPr>
          <w:rFonts w:ascii="Arial" w:hAnsi="Arial" w:cs="Arial"/>
        </w:rPr>
        <w:t>6.99</w:t>
      </w:r>
      <w:r w:rsidR="00953295" w:rsidRPr="00953295">
        <w:rPr>
          <w:rFonts w:ascii="Arial" w:hAnsi="Arial" w:cs="Arial"/>
        </w:rPr>
        <w:t xml:space="preserve">%; [95% CI: </w:t>
      </w:r>
      <w:r w:rsidR="00FA295B">
        <w:rPr>
          <w:rFonts w:ascii="Arial" w:hAnsi="Arial" w:cs="Arial"/>
        </w:rPr>
        <w:t>6.12</w:t>
      </w:r>
      <w:r w:rsidR="00953295" w:rsidRPr="00953295">
        <w:rPr>
          <w:rFonts w:ascii="Arial" w:hAnsi="Arial" w:cs="Arial"/>
        </w:rPr>
        <w:t xml:space="preserve">%, </w:t>
      </w:r>
      <w:r w:rsidR="005A4A96">
        <w:rPr>
          <w:rFonts w:ascii="Arial" w:hAnsi="Arial" w:cs="Arial"/>
        </w:rPr>
        <w:t>7.87</w:t>
      </w:r>
      <w:r w:rsidR="00953295" w:rsidRPr="00953295">
        <w:rPr>
          <w:rFonts w:ascii="Arial" w:hAnsi="Arial" w:cs="Arial"/>
        </w:rPr>
        <w:t>%]; p &lt; 0.0</w:t>
      </w:r>
      <w:r w:rsidR="00291BC2">
        <w:rPr>
          <w:rFonts w:ascii="Arial" w:hAnsi="Arial" w:cs="Arial"/>
        </w:rPr>
        <w:t>0</w:t>
      </w:r>
      <w:r w:rsidR="00953295" w:rsidRPr="00953295">
        <w:rPr>
          <w:rFonts w:ascii="Arial" w:hAnsi="Arial" w:cs="Arial"/>
        </w:rPr>
        <w:t>1). Peripheral vascular disease-related osteomyelitis also saw a significant increase in AAMR from 1999 to 202</w:t>
      </w:r>
      <w:r w:rsidR="005A3AC6">
        <w:rPr>
          <w:rFonts w:ascii="Arial" w:hAnsi="Arial" w:cs="Arial"/>
        </w:rPr>
        <w:t>3</w:t>
      </w:r>
      <w:r w:rsidR="00953295" w:rsidRPr="00953295">
        <w:rPr>
          <w:rFonts w:ascii="Arial" w:hAnsi="Arial" w:cs="Arial"/>
        </w:rPr>
        <w:t xml:space="preserve"> (APC: </w:t>
      </w:r>
      <w:r w:rsidR="003A7F02">
        <w:rPr>
          <w:rFonts w:ascii="Arial" w:hAnsi="Arial" w:cs="Arial"/>
        </w:rPr>
        <w:t>5.27</w:t>
      </w:r>
      <w:r w:rsidR="00953295" w:rsidRPr="00953295">
        <w:rPr>
          <w:rFonts w:ascii="Arial" w:hAnsi="Arial" w:cs="Arial"/>
        </w:rPr>
        <w:t xml:space="preserve">% [95% CI: </w:t>
      </w:r>
      <w:r w:rsidR="001863F9">
        <w:rPr>
          <w:rFonts w:ascii="Arial" w:hAnsi="Arial" w:cs="Arial"/>
        </w:rPr>
        <w:t>4.19</w:t>
      </w:r>
      <w:r w:rsidR="00953295" w:rsidRPr="00953295">
        <w:rPr>
          <w:rFonts w:ascii="Arial" w:hAnsi="Arial" w:cs="Arial"/>
        </w:rPr>
        <w:t xml:space="preserve">%, </w:t>
      </w:r>
      <w:r w:rsidR="00AB0442">
        <w:rPr>
          <w:rFonts w:ascii="Arial" w:hAnsi="Arial" w:cs="Arial"/>
        </w:rPr>
        <w:t>6.36</w:t>
      </w:r>
      <w:r w:rsidR="00953295" w:rsidRPr="00953295">
        <w:rPr>
          <w:rFonts w:ascii="Arial" w:hAnsi="Arial" w:cs="Arial"/>
        </w:rPr>
        <w:t>%]; p &lt; 0.0</w:t>
      </w:r>
      <w:r w:rsidR="001C524A">
        <w:rPr>
          <w:rFonts w:ascii="Arial" w:hAnsi="Arial" w:cs="Arial"/>
        </w:rPr>
        <w:t>0</w:t>
      </w:r>
      <w:r w:rsidR="00953295" w:rsidRPr="00953295">
        <w:rPr>
          <w:rFonts w:ascii="Arial" w:hAnsi="Arial" w:cs="Arial"/>
        </w:rPr>
        <w:t>1)</w:t>
      </w:r>
      <w:r w:rsidR="00953295">
        <w:rPr>
          <w:rFonts w:ascii="Arial" w:hAnsi="Arial" w:cs="Arial"/>
        </w:rPr>
        <w:t>.</w:t>
      </w:r>
    </w:p>
    <w:p w14:paraId="6347EEC8" w14:textId="4AF2C11A" w:rsidR="008513CB" w:rsidRDefault="008513CB" w:rsidP="00E861C8">
      <w:pPr>
        <w:spacing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during both the periods from 1999 to 2015 and 2016 to 202</w:t>
      </w:r>
      <w:r w:rsidR="00151D82">
        <w:rPr>
          <w:rFonts w:ascii="Arial" w:hAnsi="Arial" w:cs="Arial"/>
        </w:rPr>
        <w:t>3</w:t>
      </w:r>
      <w:r w:rsidR="000F7200">
        <w:rPr>
          <w:rFonts w:ascii="Arial" w:hAnsi="Arial" w:cs="Arial"/>
        </w:rPr>
        <w:t xml:space="preserve">. However, the APC during the </w:t>
      </w:r>
      <w:r w:rsidR="007C17FF">
        <w:rPr>
          <w:rFonts w:ascii="Arial" w:hAnsi="Arial" w:cs="Arial"/>
        </w:rPr>
        <w:t>former</w:t>
      </w:r>
      <w:r w:rsidR="000F7200">
        <w:rPr>
          <w:rFonts w:ascii="Arial" w:hAnsi="Arial" w:cs="Arial"/>
        </w:rPr>
        <w:t xml:space="preserve"> period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p &lt; 0.001) was lower than the APC during the latter period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5F77A2BD" w14:textId="069C2139" w:rsidR="00B532EA" w:rsidRPr="00B532EA" w:rsidRDefault="00B62BCA" w:rsidP="00B532EA">
      <w:pPr>
        <w:spacing w:line="480" w:lineRule="auto"/>
        <w:rPr>
          <w:rFonts w:ascii="Arial" w:hAnsi="Arial" w:cs="Arial"/>
        </w:rPr>
      </w:pPr>
      <w:r>
        <w:rPr>
          <w:rFonts w:ascii="Arial" w:hAnsi="Arial" w:cs="Arial"/>
        </w:rPr>
        <w:tab/>
      </w:r>
      <w:r w:rsidR="00B532EA" w:rsidRPr="00B532EA">
        <w:rPr>
          <w:rFonts w:ascii="Arial" w:hAnsi="Arial" w:cs="Arial"/>
        </w:rPr>
        <w:t>From 1999 to 2023, osteomyelitis-related mortality in the United States increased significantly. The AAMR rose from 0.38 to 1.11 per 100,000, with an overall APC of 3.54%. This rise was especially steep from 2016 to 2023 (APC: 9.18%) compared to 1999–2015 (APC: 1.56%). Mortality increases were observed across sex and racial/ethnic groups, with the highest APCs among American Indian/Alaska Native individuals and middle-aged adults. Osteomyelitis linked to diabetes was most frequent, while cases associated with trauma, decubitus ulcers, and vertebral infection increased more rapidly.</w:t>
      </w:r>
    </w:p>
    <w:p w14:paraId="3DBD3BC3" w14:textId="6E558E6C" w:rsidR="00B532EA" w:rsidRPr="00B532EA" w:rsidRDefault="00B532EA" w:rsidP="00B532EA">
      <w:pPr>
        <w:spacing w:line="480" w:lineRule="auto"/>
        <w:ind w:firstLine="720"/>
        <w:rPr>
          <w:rFonts w:ascii="Arial" w:hAnsi="Arial" w:cs="Arial"/>
        </w:rPr>
      </w:pPr>
      <w:r w:rsidRPr="00B532EA">
        <w:rPr>
          <w:rFonts w:ascii="Arial" w:hAnsi="Arial" w:cs="Arial"/>
        </w:rPr>
        <w:t xml:space="preserve">The inflection point in 2016 coincides with the broader implementation of ICD-10, which may have improved detection or coding specificity of osteomyelitis-related deaths. However, the magnitude and consistency of the trend across subgroups suggests that the increase </w:t>
      </w:r>
      <w:r w:rsidR="00A45DA9">
        <w:rPr>
          <w:rFonts w:ascii="Arial" w:hAnsi="Arial" w:cs="Arial"/>
        </w:rPr>
        <w:t xml:space="preserve">might reflect </w:t>
      </w:r>
      <w:r w:rsidRPr="00B532EA">
        <w:rPr>
          <w:rFonts w:ascii="Arial" w:hAnsi="Arial" w:cs="Arial"/>
        </w:rPr>
        <w:t xml:space="preserve">not only administrative shifts, but a real rise in disease burden. </w:t>
      </w:r>
    </w:p>
    <w:p w14:paraId="6B0A0435" w14:textId="43A6AB60" w:rsidR="00B532EA" w:rsidRPr="00B532EA" w:rsidRDefault="00B532EA" w:rsidP="00B532EA">
      <w:pPr>
        <w:spacing w:line="480" w:lineRule="auto"/>
        <w:ind w:firstLine="720"/>
        <w:rPr>
          <w:rFonts w:ascii="Arial" w:hAnsi="Arial" w:cs="Arial"/>
        </w:rPr>
      </w:pPr>
      <w:r w:rsidRPr="00B532EA">
        <w:rPr>
          <w:rFonts w:ascii="Arial" w:hAnsi="Arial" w:cs="Arial"/>
        </w:rPr>
        <w:lastRenderedPageBreak/>
        <w:t>Yet</w:t>
      </w:r>
      <w:r w:rsidR="00BB2921">
        <w:rPr>
          <w:rFonts w:ascii="Arial" w:hAnsi="Arial" w:cs="Arial"/>
        </w:rPr>
        <w:t>,</w:t>
      </w:r>
      <w:r w:rsidRPr="00B532EA">
        <w:rPr>
          <w:rFonts w:ascii="Arial" w:hAnsi="Arial" w:cs="Arial"/>
        </w:rPr>
        <w:t xml:space="preserve"> mortality captures only part of the burden. Osteomyelitis often leads to serious morbidity even when not fatal. In diabetic foot osteomyelitis,</w:t>
      </w:r>
      <w:r w:rsidR="00564DF8">
        <w:rPr>
          <w:rFonts w:ascii="Arial" w:hAnsi="Arial" w:cs="Arial"/>
        </w:rPr>
        <w:t xml:space="preserve"> for example,</w:t>
      </w:r>
      <w:r w:rsidRPr="00B532EA">
        <w:rPr>
          <w:rFonts w:ascii="Arial" w:hAnsi="Arial" w:cs="Arial"/>
        </w:rPr>
        <w:t xml:space="preserve"> up to 80% of cases eventually result in amputation, and recurrence is common.</w:t>
      </w:r>
      <w:r w:rsidR="009C0FA6">
        <w:rPr>
          <w:rFonts w:ascii="Arial" w:hAnsi="Arial" w:cs="Arial"/>
        </w:rPr>
        <w:fldChar w:fldCharType="begin"/>
      </w:r>
      <w:r w:rsidR="00C058E7">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sidR="009C0FA6">
        <w:rPr>
          <w:rFonts w:ascii="Arial" w:hAnsi="Arial" w:cs="Arial"/>
        </w:rPr>
        <w:fldChar w:fldCharType="separate"/>
      </w:r>
      <w:r w:rsidR="007A78DE" w:rsidRPr="007A78DE">
        <w:rPr>
          <w:rFonts w:ascii="Arial" w:hAnsi="Arial" w:cs="Arial"/>
          <w:kern w:val="0"/>
          <w:vertAlign w:val="superscript"/>
        </w:rPr>
        <w:t>5</w:t>
      </w:r>
      <w:r w:rsidR="009C0FA6">
        <w:rPr>
          <w:rFonts w:ascii="Arial" w:hAnsi="Arial" w:cs="Arial"/>
        </w:rPr>
        <w:fldChar w:fldCharType="end"/>
      </w:r>
      <w:r w:rsidRPr="00B532EA">
        <w:rPr>
          <w:rFonts w:ascii="Arial" w:hAnsi="Arial" w:cs="Arial"/>
        </w:rPr>
        <w:t xml:space="preserve"> The condition is associated with high costs and reduced quality of life.</w:t>
      </w:r>
      <w:r w:rsidR="00C058E7">
        <w:rPr>
          <w:rFonts w:ascii="Arial" w:hAnsi="Arial" w:cs="Arial"/>
        </w:rPr>
        <w:fldChar w:fldCharType="begin"/>
      </w:r>
      <w:r w:rsidR="00C058E7">
        <w:rPr>
          <w:rFonts w:ascii="Arial" w:hAnsi="Arial" w:cs="Arial"/>
        </w:rPr>
        <w:instrText xml:space="preserve"> ADDIN ZOTERO_ITEM CSL_CITATION {"citationID":"SSwyGtgi","properties":{"formattedCitation":"\\super 6\\nosupersub{}","plainCitation":"6","noteIndex":0},"citationItems":[{"id":5890,"uris":["http://zotero.org/groups/5952805/items/CNC8T6ZJ"],"itemData":{"id":5890,"type":"article-journal","abstract":"Objective: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sidR="00C058E7">
        <w:rPr>
          <w:rFonts w:ascii="Arial" w:hAnsi="Arial" w:cs="Arial"/>
        </w:rPr>
        <w:fldChar w:fldCharType="separate"/>
      </w:r>
      <w:r w:rsidR="00C058E7" w:rsidRPr="00C058E7">
        <w:rPr>
          <w:rFonts w:ascii="Arial" w:hAnsi="Arial" w:cs="Arial"/>
          <w:kern w:val="0"/>
          <w:vertAlign w:val="superscript"/>
        </w:rPr>
        <w:t>6</w:t>
      </w:r>
      <w:r w:rsidR="00C058E7">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sidR="0051203D">
        <w:rPr>
          <w:rFonts w:ascii="Arial" w:hAnsi="Arial" w:cs="Arial"/>
        </w:rPr>
        <w:t xml:space="preserve"> </w:t>
      </w:r>
      <w:r w:rsidRPr="00B532EA">
        <w:rPr>
          <w:rFonts w:ascii="Arial" w:hAnsi="Arial" w:cs="Arial"/>
        </w:rPr>
        <w:t>treated</w:t>
      </w:r>
      <w:r w:rsidR="0051203D">
        <w:rPr>
          <w:rFonts w:ascii="Arial" w:hAnsi="Arial" w:cs="Arial"/>
        </w:rPr>
        <w:t xml:space="preserve"> in the hospital setting</w:t>
      </w:r>
      <w:r w:rsidRPr="00B532EA">
        <w:rPr>
          <w:rFonts w:ascii="Arial" w:hAnsi="Arial" w:cs="Arial"/>
        </w:rPr>
        <w:t>.</w:t>
      </w:r>
      <w:r w:rsidR="00C058E7">
        <w:rPr>
          <w:rFonts w:ascii="Arial" w:hAnsi="Arial" w:cs="Arial"/>
        </w:rPr>
        <w:fldChar w:fldCharType="begin"/>
      </w:r>
      <w:r w:rsidR="00C058E7">
        <w:rPr>
          <w:rFonts w:ascii="Arial" w:hAnsi="Arial" w:cs="Arial"/>
        </w:rPr>
        <w:instrText xml:space="preserve"> ADDIN ZOTERO_ITEM CSL_CITATION {"citationID":"Bel921nD","properties":{"formattedCitation":"\\super 6\\nosupersub{}","plainCitation":"6","noteIndex":0},"citationItems":[{"id":5890,"uris":["http://zotero.org/groups/5952805/items/CNC8T6ZJ"],"itemData":{"id":5890,"type":"article-journal","abstract":"Objective: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sidR="00C058E7">
        <w:rPr>
          <w:rFonts w:ascii="Arial" w:hAnsi="Arial" w:cs="Arial"/>
        </w:rPr>
        <w:fldChar w:fldCharType="separate"/>
      </w:r>
      <w:r w:rsidR="00C058E7" w:rsidRPr="00C058E7">
        <w:rPr>
          <w:rFonts w:ascii="Arial" w:hAnsi="Arial" w:cs="Arial"/>
          <w:kern w:val="0"/>
          <w:vertAlign w:val="superscript"/>
        </w:rPr>
        <w:t>6</w:t>
      </w:r>
      <w:r w:rsidR="00C058E7">
        <w:rPr>
          <w:rFonts w:ascii="Arial" w:hAnsi="Arial" w:cs="Arial"/>
        </w:rPr>
        <w:fldChar w:fldCharType="end"/>
      </w:r>
    </w:p>
    <w:p w14:paraId="78DE106C" w14:textId="669385F5" w:rsidR="00B532EA" w:rsidRPr="00B532EA" w:rsidRDefault="00B532EA" w:rsidP="00B532EA">
      <w:pPr>
        <w:spacing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Sepsis remains a leading cause of death, with over 270,000 deaths annually in the </w:t>
      </w:r>
      <w:r w:rsidR="007A78DE">
        <w:rPr>
          <w:rFonts w:ascii="Arial" w:hAnsi="Arial" w:cs="Arial"/>
        </w:rPr>
        <w:t>United States</w:t>
      </w:r>
      <w:r w:rsidRPr="00B532EA">
        <w:rPr>
          <w:rFonts w:ascii="Arial" w:hAnsi="Arial" w:cs="Arial"/>
        </w:rPr>
        <w:t>, but osteomyelitis</w:t>
      </w:r>
      <w:r w:rsidR="007A78DE">
        <w:rPr>
          <w:rFonts w:ascii="Arial" w:hAnsi="Arial" w:cs="Arial"/>
        </w:rPr>
        <w:t xml:space="preserve">, </w:t>
      </w:r>
      <w:r w:rsidRPr="00B532EA">
        <w:rPr>
          <w:rFonts w:ascii="Arial" w:hAnsi="Arial" w:cs="Arial"/>
        </w:rPr>
        <w:t>while rarer</w:t>
      </w:r>
      <w:r w:rsidR="007A78DE">
        <w:rPr>
          <w:rFonts w:ascii="Arial" w:hAnsi="Arial" w:cs="Arial"/>
        </w:rPr>
        <w:t xml:space="preserve">, </w:t>
      </w:r>
      <w:r w:rsidRPr="00B532EA">
        <w:rPr>
          <w:rFonts w:ascii="Arial" w:hAnsi="Arial" w:cs="Arial"/>
        </w:rPr>
        <w:t>is increasing at a fast</w:t>
      </w:r>
      <w:r w:rsidR="00E571AF">
        <w:rPr>
          <w:rFonts w:ascii="Arial" w:hAnsi="Arial" w:cs="Arial"/>
        </w:rPr>
        <w:t>er</w:t>
      </w:r>
      <w:r w:rsidRPr="00B532EA">
        <w:rPr>
          <w:rFonts w:ascii="Arial" w:hAnsi="Arial" w:cs="Arial"/>
        </w:rPr>
        <w:t xml:space="preserve"> relative pace.</w:t>
      </w:r>
      <w:r w:rsidR="007A78DE">
        <w:rPr>
          <w:rFonts w:ascii="Arial" w:hAnsi="Arial" w:cs="Arial"/>
        </w:rPr>
        <w:fldChar w:fldCharType="begin"/>
      </w:r>
      <w:r w:rsidR="00E571AF">
        <w:rPr>
          <w:rFonts w:ascii="Arial" w:hAnsi="Arial" w:cs="Arial"/>
        </w:rPr>
        <w:instrText xml:space="preserve"> ADDIN ZOTERO_ITEM CSL_CITATION {"citationID":"7dWX2Yvj","properties":{"formattedCitation":"\\super 7\\nosupersub{}","plainCitation":"7","noteIndex":0},"citationItems":[{"id":5906,"uris":["http://zotero.org/groups/5952805/items/M4FSQQA2"],"itemData":{"id":5906,"type":"article-journal","abstract":"OBJECTIVE: To utilize the US consus data available every 10 years to show the trauma death rates and how it has changed over 20 years.\nBACKGROUND: Over the past 2 decades, the epidemiology of trauma has shifted significantly, driven primarily by demographic changes. The aim of our study was to illustrate the changing landscape of trauma mortality rates and compare them with other leading causes of death.\nMETHODS: We performed a cross-sectional study from 2000 to 2020, using data from the Centers for Disease Control and Prevention and Web-based Injury Statistics Query and Reporting System. Trauma deaths were defined according to the World Health Organization classification, encompassing unintentional injuries, homicides, and suicides. Mortality rates were calculated per 100,000 using U.S. census data.\nRESULTS: The analysis revealed a 91% increase in trauma mortality from 2000 to 2020, rising to 268,926 deaths-far surpassing the 17.8% population growth. A trimodal distribution of trauma deaths persisted, with age peaks shifting to 30 to 35, 55 to 59, and above 70 years by 2020. Causes of death shifted with increases in firearm, poisoning, and fall, while motor vehicle mortality rates declined. By 2020, trauma was the leading cause of death up to age 50. Trauma remained the leading cause of cumulative deaths up to age 67 and the primary contributor to years of life lost. Death rates from cancer and heart disease showed a declining trend.\nCONCLUSIONS: Trauma has become the leading cause of death up to age 50 and remains a primary contributor to years of life lost. The largest increase in trauma deaths was noted among baby boomers and millennials. As death rates from cancer and heart disease decline, it is essential to reprioritize and reallocate resources to address the evolving trauma epidemiology in an aging and expanding U.S. population.\nLEVEL OF EVIDENCE: Level III-retrospective study.","container-title":"Annals of Surgery","DOI":"10.1097/SLA.0000000000006668","ISSN":"1528-1140","issue":"6","journalAbbreviation":"Ann Surg","language":"eng","note":"PMID: 39931816","page":"976-981","source":"PubMed","title":"Evolving Epidemiology of Increasing Trauma Deaths in the United States (2000-2020)","volume":"281","author":[{"family":"Rhee","given":"Peter"},{"family":"Holcomb","given":"John B."},{"family":"Zangbar","given":"Bardiya"}],"issued":{"date-parts":[["2025",6,1]]}}}],"schema":"https://github.com/citation-style-language/schema/raw/master/csl-citation.json"} </w:instrText>
      </w:r>
      <w:r w:rsidR="007A78DE">
        <w:rPr>
          <w:rFonts w:ascii="Arial" w:hAnsi="Arial" w:cs="Arial"/>
        </w:rPr>
        <w:fldChar w:fldCharType="separate"/>
      </w:r>
      <w:r w:rsidR="00E571AF" w:rsidRPr="00E571AF">
        <w:rPr>
          <w:rFonts w:ascii="Arial" w:hAnsi="Arial" w:cs="Arial"/>
          <w:kern w:val="0"/>
          <w:vertAlign w:val="superscript"/>
        </w:rPr>
        <w:t>7</w:t>
      </w:r>
      <w:r w:rsidR="007A78DE">
        <w:rPr>
          <w:rFonts w:ascii="Arial" w:hAnsi="Arial" w:cs="Arial"/>
        </w:rPr>
        <w:fldChar w:fldCharType="end"/>
      </w:r>
      <w:r w:rsidRPr="00B532EA">
        <w:rPr>
          <w:rFonts w:ascii="Arial" w:hAnsi="Arial" w:cs="Arial"/>
        </w:rPr>
        <w:t xml:space="preserve"> Mortality from infective endocarditis and C. difficile infection has also climbed over the last two decades, often driven by host factors and structural vulnerabilities.</w:t>
      </w:r>
      <w:r w:rsidR="009D5C2C">
        <w:rPr>
          <w:rFonts w:ascii="Arial" w:hAnsi="Arial" w:cs="Arial"/>
        </w:rPr>
        <w:fldChar w:fldCharType="begin"/>
      </w:r>
      <w:r w:rsidR="009D5C2C">
        <w:rPr>
          <w:rFonts w:ascii="Arial" w:hAnsi="Arial" w:cs="Arial"/>
        </w:rPr>
        <w:instrText xml:space="preserve"> ADDIN ZOTERO_ITEM CSL_CITATION {"citationID":"e4EoxO6w","properties":{"formattedCitation":"\\super 8,9\\nosupersub{}","plainCitation":"8,9","noteIndex":0},"citationItems":[{"id":6299,"uris":["http://zotero.org/groups/5952805/items/CIWIT7PC"],"itemData":{"id":6299,"type":"article-journal","abstract":"BackgroundData on national trends in mortality due to infective endocarditis (IE) in the United States are limited.Methods and ResultsUtilizing the multiple causes of death data from the Centers for Disease Control and Prevention's Wide</w:instrText>
      </w:r>
      <w:r w:rsidR="009D5C2C">
        <w:rPr>
          <w:rFonts w:ascii="Cambria Math" w:hAnsi="Cambria Math" w:cs="Cambria Math"/>
        </w:rPr>
        <w:instrText>‐</w:instrText>
      </w:r>
      <w:r w:rsidR="009D5C2C">
        <w:rPr>
          <w:rFonts w:ascii="Arial" w:hAnsi="Arial" w:cs="Arial"/>
        </w:rPr>
        <w:instrText>Ranging Online Data for Epidemiologic Research database from 1999 to 2020, IE and substance use were identified using the International Classification of Diseases, Tenth Revision, Clinical Modification codes. Between 1999 and 2020, the IE</w:instrText>
      </w:r>
      <w:r w:rsidR="009D5C2C">
        <w:rPr>
          <w:rFonts w:ascii="Cambria Math" w:hAnsi="Cambria Math" w:cs="Cambria Math"/>
        </w:rPr>
        <w:instrText>‐</w:instrText>
      </w:r>
      <w:r w:rsidR="009D5C2C">
        <w:rPr>
          <w:rFonts w:ascii="Arial" w:hAnsi="Arial" w:cs="Arial"/>
        </w:rPr>
        <w:instrText>related age</w:instrText>
      </w:r>
      <w:r w:rsidR="009D5C2C">
        <w:rPr>
          <w:rFonts w:ascii="Cambria Math" w:hAnsi="Cambria Math" w:cs="Cambria Math"/>
        </w:rPr>
        <w:instrText>‐</w:instrText>
      </w:r>
      <w:r w:rsidR="009D5C2C">
        <w:rPr>
          <w:rFonts w:ascii="Arial" w:hAnsi="Arial" w:cs="Arial"/>
        </w:rPr>
        <w:instrText>adjusted mortality rates declined. IE</w:instrText>
      </w:r>
      <w:r w:rsidR="009D5C2C">
        <w:rPr>
          <w:rFonts w:ascii="Cambria Math" w:hAnsi="Cambria Math" w:cs="Cambria Math"/>
        </w:rPr>
        <w:instrText>‐</w:instrText>
      </w:r>
      <w:r w:rsidR="009D5C2C">
        <w:rPr>
          <w:rFonts w:ascii="Arial" w:hAnsi="Arial" w:cs="Arial"/>
        </w:rPr>
        <w:instrText>related crude mortality accelerated significantly in the age groups 25–34 years (average annual percentage change, 5.4 [95% CI, 3.1–7.7]; P&lt;0.001) and 35–44 years (average annual percentage change, 2.3 [95% CI, 1.3–3.3]; P&lt;0.001), but remained stagnant in those aged 45–54 years (average annual percentage change, 0.5 [95% CI, −1.9 to 3]; P=0.684), and showed a significant decline in those aged ≥55 years. A concomitant substance use disorder as multiple causes of death in those with IE increased drastically in the 25–44 years age group (P&lt;0.001). The states of Kentucky, Tennessee, and West Virginia showed an acceleration in age</w:instrText>
      </w:r>
      <w:r w:rsidR="009D5C2C">
        <w:rPr>
          <w:rFonts w:ascii="Cambria Math" w:hAnsi="Cambria Math" w:cs="Cambria Math"/>
        </w:rPr>
        <w:instrText>‐</w:instrText>
      </w:r>
      <w:r w:rsidR="009D5C2C">
        <w:rPr>
          <w:rFonts w:ascii="Arial" w:hAnsi="Arial" w:cs="Arial"/>
        </w:rPr>
        <w:instrText>adjusted mortality rates in contrast to other states, where there was predominantly a decline or static trend for IE.ConclusionsAge</w:instrText>
      </w:r>
      <w:r w:rsidR="009D5C2C">
        <w:rPr>
          <w:rFonts w:ascii="Cambria Math" w:hAnsi="Cambria Math" w:cs="Cambria Math"/>
        </w:rPr>
        <w:instrText>‐</w:instrText>
      </w:r>
      <w:r w:rsidR="009D5C2C">
        <w:rPr>
          <w:rFonts w:ascii="Arial" w:hAnsi="Arial" w:cs="Arial"/>
        </w:rPr>
        <w:instrText>adjusted mortality rates due to IE in the overall population have declined. The marked acceleration in mortality in the 25</w:instrText>
      </w:r>
      <w:r w:rsidR="009D5C2C">
        <w:rPr>
          <w:rFonts w:ascii="Cambria Math" w:hAnsi="Cambria Math" w:cs="Cambria Math"/>
        </w:rPr>
        <w:instrText>‐</w:instrText>
      </w:r>
      <w:r w:rsidR="009D5C2C">
        <w:rPr>
          <w:rFonts w:ascii="Arial" w:hAnsi="Arial" w:cs="Arial"/>
        </w:rPr>
        <w:instrText xml:space="preserve"> to 44</w:instrText>
      </w:r>
      <w:r w:rsidR="009D5C2C">
        <w:rPr>
          <w:rFonts w:ascii="Cambria Math" w:hAnsi="Cambria Math" w:cs="Cambria Math"/>
        </w:rPr>
        <w:instrText>‐</w:instrText>
      </w:r>
      <w:r w:rsidR="009D5C2C">
        <w:rPr>
          <w:rFonts w:ascii="Arial" w:hAnsi="Arial" w:cs="Arial"/>
        </w:rPr>
        <w:instrText xml:space="preserve">year age group is a cause for alarm. Regional differences with acceleration in IE mortality rates were noted in Kentucky, Tennessee, and West Virginia. We speculate that this acceleration was likely due mainly to the opioid crisis that has engulfed several states and involved principally younger adults.","container-title":"Journal of the American Heart Association","DOI":"10.1161/JAHA.123.031589","issue":"24","note":"publisher: Wiley","page":"e031589","source":"ahajournals.org (Atypon)","title":"Trends in Infective Endocarditis Mortality in the United States: 1999 to 2020: A Cause for Alarm","title-short":"Trends in Infective Endocarditis Mortality in the United States","volume":"12","author":[{"family":"Chobufo","given":"Muchi Ditah"},{"family":"Atti","given":"Varunsiri"},{"family":"Vasudevan","given":"Archana"},{"family":"Bhandari","given":"Ruchi"},{"family":"Badhwar","given":"Vinay"},{"family":"Baddour","given":"Larry M."},{"family":"Balla","given":"Sudarshan"}],"issued":{"date-parts":[["2023",12,19]]}}},{"id":6297,"uris":["http://zotero.org/groups/5952805/items/HETJ6UTG"],"itemData":{"id":6297,"type":"article-journal","abstract":"Clostridium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9D5C2C" w:rsidRPr="009D5C2C">
        <w:rPr>
          <w:rFonts w:ascii="Arial" w:hAnsi="Arial" w:cs="Arial"/>
          <w:kern w:val="0"/>
          <w:vertAlign w:val="superscript"/>
        </w:rPr>
        <w:t>8,9</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0ECE609D" w14:textId="6C095C50" w:rsidR="00B532EA" w:rsidRPr="00B532EA" w:rsidRDefault="00B532EA" w:rsidP="00B532EA">
      <w:pPr>
        <w:spacing w:line="480" w:lineRule="auto"/>
        <w:ind w:firstLine="720"/>
        <w:rPr>
          <w:rFonts w:ascii="Arial" w:hAnsi="Arial" w:cs="Arial"/>
        </w:rPr>
      </w:pPr>
      <w:r w:rsidRPr="00B532EA">
        <w:rPr>
          <w:rFonts w:ascii="Arial" w:hAnsi="Arial" w:cs="Arial"/>
        </w:rPr>
        <w:t>The strong associations with diabetes, trauma, ulcers, and vertebral infection observed here reinforce that osteomyelitis is often a consequence of delayed or fragmented care. Diabetic foot ulcers affect 15–25% of patients with diabetes during their lifetime.</w:t>
      </w:r>
      <w:r w:rsidR="008F63AA">
        <w:rPr>
          <w:rFonts w:ascii="Arial" w:hAnsi="Arial" w:cs="Arial"/>
        </w:rPr>
        <w:fldChar w:fldCharType="begin"/>
      </w:r>
      <w:r w:rsidR="008F63AA">
        <w:rPr>
          <w:rFonts w:ascii="Arial" w:hAnsi="Arial" w:cs="Arial"/>
        </w:rPr>
        <w:instrText xml:space="preserve"> ADDIN ZOTERO_ITEM CSL_CITATION {"citationID":"lpki6439","properties":{"formattedCitation":"\\super 5\\nosupersub{}","plainCitation":"5","noteIndex":0},"citationItems":[{"id":15,"uris":["http://zotero.org/users/13640486/items/QFAD9HPP"],"itemData":{"id":15,"type":"article-journal","container-title":"New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sidR="008F63AA">
        <w:rPr>
          <w:rFonts w:ascii="Arial" w:hAnsi="Arial" w:cs="Arial"/>
        </w:rPr>
        <w:fldChar w:fldCharType="separate"/>
      </w:r>
      <w:r w:rsidR="008F63AA" w:rsidRPr="008F63AA">
        <w:rPr>
          <w:rFonts w:ascii="Arial" w:hAnsi="Arial" w:cs="Arial"/>
          <w:kern w:val="0"/>
          <w:vertAlign w:val="superscript"/>
        </w:rPr>
        <w:t>5</w:t>
      </w:r>
      <w:r w:rsidR="008F63AA">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sidR="002E630D">
        <w:rPr>
          <w:rFonts w:ascii="Arial" w:hAnsi="Arial" w:cs="Arial"/>
        </w:rPr>
        <w:t xml:space="preserve">, </w:t>
      </w:r>
      <w:r w:rsidRPr="00B532EA">
        <w:rPr>
          <w:rFonts w:ascii="Arial" w:hAnsi="Arial" w:cs="Arial"/>
        </w:rPr>
        <w:t>including more amputations and longer hospitalizations</w:t>
      </w:r>
      <w:r w:rsidR="002E630D">
        <w:rPr>
          <w:rFonts w:ascii="Arial" w:hAnsi="Arial" w:cs="Arial"/>
        </w:rPr>
        <w:t xml:space="preserve">, </w:t>
      </w:r>
      <w:r w:rsidRPr="00B532EA">
        <w:rPr>
          <w:rFonts w:ascii="Arial" w:hAnsi="Arial" w:cs="Arial"/>
        </w:rPr>
        <w:t>than those with soft tissue infection alone.</w:t>
      </w:r>
      <w:r w:rsidR="00D93572">
        <w:rPr>
          <w:rFonts w:ascii="Arial" w:hAnsi="Arial" w:cs="Arial"/>
        </w:rPr>
        <w:fldChar w:fldCharType="begin"/>
      </w:r>
      <w:r w:rsidR="00D93572">
        <w:rPr>
          <w:rFonts w:ascii="Arial" w:hAnsi="Arial" w:cs="Arial"/>
        </w:rPr>
        <w:instrText xml:space="preserve"> ADDIN ZOTERO_ITEM CSL_CITATION {"citationID":"2lq8BZzc","properties":{"formattedCitation":"\\super 10,11\\nosupersub{}","plainCitation":"10,11","noteIndex":0},"citationItems":[{"id":6303,"uris":["http://zotero.org/groups/5952805/items/7EB3D84A"],"itemData":{"id":6303,"type":"article-journal","abstract":"Diabetic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M."}],"issued":{"date-parts":[["2018",4]]}}},{"id":6301,"uris":["http://zotero.org/groups/5952805/items/E9UP5V8F"],"itemData":{"id":6301,"type":"article-journal","abstract":"Bone biopsy is often referred to as the reference standard for the diagnosis of diabetic foot osteomyelitis (OM), and it also serves as an important interventional tool with respect to diabetic foot infections and limb salvage. However, the phrase bone biopsy lacks a standardized definition, and the statistical reliability of the pathologic diagnosis has not been previously examined. The objective of the present study was to quantify the reliability of the histopathologic analysis of bone with respect to the diagnosis of diabetic foot OM. Four pathologists, kept unaware of the previous pathology reports and specific patient clinical characteristics, retrospectively reviewed 39 consecutive tissue specimens and were informed only that it was \"a specimen of bone taken from a diabetic foot to evaluate for OM.\" As a primary outcome measure, the pathologists were asked to make 1 of 3 possible diagnoses: (1) no evidence of OM, (2) no definitive findings of OM, but cannot rule it out, or (3) findings consistent with OM. There was complete agreement among all 4 pathologists with respect to the primary diagnosis in 13 (33.33%) of the 39 specimens, with a corresponding kappa coefficient of 0.31. A situation of clinically significant disagreement, or in which at least 1 pathologist diagnosed \"no evidence of OM,\" but at least 1 other pathologist diagnosed \"findings consistent with OM,\" occurred in 16 (41.03%) of the specimens. These results indicate agreement below the level of a \"reference standard\" and emphasize the need for a more comprehensive diagnostic protocol for diabetic foot OM.","container-title":"The Journal of Foot and Ankle Surgery: Official Publication of the American College of Foot and Ankle Surgeons","DOI":"10.1053/j.jfas.2011.08.005","ISSN":"1542-2224","issue":"6","journalAbbreviation":"J Foot Ankle Surg","language":"eng","note":"PMID: 21907594","page":"663-667","source":"PubMed","title":"Statistical reliability of bone biopsy for the diagnosis of diabetic foot osteomyelitis","volume":"50","author":[{"family":"Meyr","given":"Andrew J."},{"family":"Singh","given":"Salil"},{"family":"Zhang","given":"Xinmin"},{"family":"Khilko","given":"Natalya"},{"family":"Mukherjee","given":"Abir"},{"family":"Sheridan","given":"Michael J."},{"family":"Khurana","given":"Jasvir S."}],"issued":{"date-parts":[["2011"]]}}}],"schema":"https://github.com/citation-style-language/schema/raw/master/csl-citation.json"} </w:instrText>
      </w:r>
      <w:r w:rsidR="00D93572">
        <w:rPr>
          <w:rFonts w:ascii="Arial" w:hAnsi="Arial" w:cs="Arial"/>
        </w:rPr>
        <w:fldChar w:fldCharType="separate"/>
      </w:r>
      <w:r w:rsidR="00D93572" w:rsidRPr="00D93572">
        <w:rPr>
          <w:rFonts w:ascii="Arial" w:hAnsi="Arial" w:cs="Arial"/>
          <w:kern w:val="0"/>
          <w:vertAlign w:val="superscript"/>
        </w:rPr>
        <w:t>10,11</w:t>
      </w:r>
      <w:r w:rsidR="00D93572">
        <w:rPr>
          <w:rFonts w:ascii="Arial" w:hAnsi="Arial" w:cs="Arial"/>
        </w:rPr>
        <w:fldChar w:fldCharType="end"/>
      </w:r>
      <w:r w:rsidRPr="00B532EA">
        <w:rPr>
          <w:rFonts w:ascii="Arial" w:hAnsi="Arial" w:cs="Arial"/>
        </w:rPr>
        <w:t xml:space="preserve"> Similarly, decubitus ulcer-associated osteomyelitis reflects failures in inpatient or long-term care settings, while trauma-associated deaths may involve inadequate follow-up of fractures, open wounds, or implanted hardware.</w:t>
      </w:r>
    </w:p>
    <w:p w14:paraId="770DCB65" w14:textId="0BE04C22" w:rsidR="00B532EA" w:rsidRPr="00B532EA" w:rsidRDefault="00B532EA" w:rsidP="00B532EA">
      <w:pPr>
        <w:spacing w:line="480" w:lineRule="auto"/>
        <w:ind w:firstLine="720"/>
        <w:rPr>
          <w:rFonts w:ascii="Arial" w:hAnsi="Arial" w:cs="Arial"/>
        </w:rPr>
      </w:pPr>
      <w:r w:rsidRPr="00B532EA">
        <w:rPr>
          <w:rFonts w:ascii="Arial" w:hAnsi="Arial" w:cs="Arial"/>
        </w:rPr>
        <w:lastRenderedPageBreak/>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 or vascular disease. Finally, complex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9B3D8B">
        <w:rPr>
          <w:rFonts w:ascii="Arial" w:hAnsi="Arial" w:cs="Arial"/>
        </w:rPr>
        <w:instrText xml:space="preserve"> ADDIN ZOTERO_ITEM CSL_CITATION {"citationID":"ZUwti5m0","properties":{"formattedCitation":"\\super 12\\nosupersub{}","plainCitation":"12","noteIndex":0},"citationItems":[{"id":6306,"uris":["http://zotero.org/groups/5952805/items/BA6RMQWV"],"itemData":{"id":6306,"type":"article-journal","abstract":"BACKGROUND: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9B3D8B" w:rsidRPr="009B3D8B">
        <w:rPr>
          <w:rFonts w:ascii="Arial" w:hAnsi="Arial" w:cs="Arial"/>
          <w:kern w:val="0"/>
          <w:vertAlign w:val="superscript"/>
        </w:rPr>
        <w:t>12</w:t>
      </w:r>
      <w:r w:rsidR="009B3D8B">
        <w:rPr>
          <w:rFonts w:ascii="Arial" w:hAnsi="Arial" w:cs="Arial"/>
        </w:rPr>
        <w:fldChar w:fldCharType="end"/>
      </w:r>
    </w:p>
    <w:p w14:paraId="3C4CC0CA" w14:textId="40CE7E7B" w:rsidR="00B532EA" w:rsidRPr="00B532EA" w:rsidRDefault="00B532EA" w:rsidP="00B532EA">
      <w:pPr>
        <w:spacing w:line="480" w:lineRule="auto"/>
        <w:ind w:firstLine="720"/>
        <w:rPr>
          <w:rFonts w:ascii="Arial" w:hAnsi="Arial" w:cs="Arial"/>
        </w:rPr>
      </w:pPr>
      <w:r w:rsidRPr="00B532EA">
        <w:rPr>
          <w:rFonts w:ascii="Arial" w:hAnsi="Arial" w:cs="Arial"/>
        </w:rPr>
        <w:t>This study has key strengths, including its use of comprehensive, nationally representative mortality data spanning 25 years and a detailed breakdown by comorbid conditions and demographics. However, it also has limitations. Death certificates may underreport osteomyelitis, particularly when it is a contributing cause. The ICD-10 transition may affect coding consistency over time. We could not assess clinical variables such as infection severity, treatment received, or timing of diagnosis. Moreover, the study does not include non-fatal osteomyelitis cases, which likely represent a much larger burden.</w:t>
      </w:r>
    </w:p>
    <w:p w14:paraId="25258108" w14:textId="6F542BD9" w:rsidR="00003788" w:rsidRDefault="00B532EA" w:rsidP="00B532EA">
      <w:pPr>
        <w:spacing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driven by chronic wounds, comorbid illness, and fragmented care</w:t>
      </w:r>
      <w:r w:rsidR="00497E42">
        <w:rPr>
          <w:rFonts w:ascii="Arial" w:hAnsi="Arial" w:cs="Arial"/>
        </w:rPr>
        <w:t xml:space="preserve">, </w:t>
      </w:r>
      <w:r w:rsidRPr="00B532EA">
        <w:rPr>
          <w:rFonts w:ascii="Arial" w:hAnsi="Arial" w:cs="Arial"/>
        </w:rPr>
        <w:t>is substantial. Interventions that target prevention, early management, and integrated care delivery are urgently needed to address this rising threat.</w:t>
      </w:r>
    </w:p>
    <w:p w14:paraId="1C4543CC" w14:textId="28469C96" w:rsidR="003B619A" w:rsidRDefault="003B619A" w:rsidP="00E861C8">
      <w:pPr>
        <w:spacing w:line="480" w:lineRule="auto"/>
        <w:rPr>
          <w:rFonts w:ascii="Arial" w:hAnsi="Arial" w:cs="Arial"/>
        </w:rPr>
      </w:pPr>
      <w:r>
        <w:rPr>
          <w:rFonts w:ascii="Arial" w:hAnsi="Arial" w:cs="Arial"/>
        </w:rPr>
        <w:tab/>
      </w:r>
    </w:p>
    <w:p w14:paraId="7C65E8C3" w14:textId="3E2ECA82" w:rsidR="00A03763" w:rsidRPr="00DD3AC4" w:rsidRDefault="001F0860" w:rsidP="00DD3AC4">
      <w:pPr>
        <w:rPr>
          <w:rFonts w:ascii="Arial" w:hAnsi="Arial" w:cs="Arial"/>
          <w:b/>
          <w:bCs/>
        </w:rPr>
      </w:pPr>
      <w:r>
        <w:rPr>
          <w:rFonts w:ascii="Arial" w:hAnsi="Arial" w:cs="Arial"/>
          <w:b/>
          <w:bCs/>
        </w:rPr>
        <w:br w:type="page"/>
      </w:r>
      <w:r w:rsidR="001A2A11">
        <w:rPr>
          <w:rFonts w:ascii="Arial" w:hAnsi="Arial" w:cs="Arial"/>
          <w:b/>
          <w:bCs/>
        </w:rPr>
        <w:lastRenderedPageBreak/>
        <w:t>References:</w:t>
      </w:r>
    </w:p>
    <w:p w14:paraId="4E4295B1" w14:textId="77777777" w:rsidR="00E571AF" w:rsidRPr="00E571AF" w:rsidRDefault="0001183B" w:rsidP="00E571AF">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E571AF" w:rsidRPr="00E571AF">
        <w:rPr>
          <w:rFonts w:ascii="Arial" w:hAnsi="Arial" w:cs="Arial"/>
        </w:rPr>
        <w:t>1.</w:t>
      </w:r>
      <w:r w:rsidR="00E571AF" w:rsidRPr="00E571AF">
        <w:rPr>
          <w:rFonts w:ascii="Arial" w:hAnsi="Arial" w:cs="Arial"/>
        </w:rPr>
        <w:tab/>
        <w:t xml:space="preserve">Schmitt SK. Osteomyelitis. </w:t>
      </w:r>
      <w:r w:rsidR="00E571AF" w:rsidRPr="00E571AF">
        <w:rPr>
          <w:rFonts w:ascii="Arial" w:hAnsi="Arial" w:cs="Arial"/>
          <w:i/>
          <w:iCs/>
        </w:rPr>
        <w:t>Infect Dis Clin North Am</w:t>
      </w:r>
      <w:r w:rsidR="00E571AF" w:rsidRPr="00E571AF">
        <w:rPr>
          <w:rFonts w:ascii="Arial" w:hAnsi="Arial" w:cs="Arial"/>
        </w:rPr>
        <w:t>. 2017;31(2):325-338. doi:10.1016/j.idc.2017.01.010</w:t>
      </w:r>
    </w:p>
    <w:p w14:paraId="6B7586AF" w14:textId="77777777" w:rsidR="00E571AF" w:rsidRPr="00E571AF" w:rsidRDefault="00E571AF" w:rsidP="00E571AF">
      <w:pPr>
        <w:pStyle w:val="Bibliography"/>
        <w:rPr>
          <w:rFonts w:ascii="Arial" w:hAnsi="Arial" w:cs="Arial"/>
        </w:rPr>
      </w:pPr>
      <w:r w:rsidRPr="00E571AF">
        <w:rPr>
          <w:rFonts w:ascii="Arial" w:hAnsi="Arial" w:cs="Arial"/>
        </w:rPr>
        <w:t>2.</w:t>
      </w:r>
      <w:r w:rsidRPr="00E571AF">
        <w:rPr>
          <w:rFonts w:ascii="Arial" w:hAnsi="Arial" w:cs="Arial"/>
        </w:rPr>
        <w:tab/>
        <w:t xml:space="preserve">Bury DC, Rogers TS, Dickman MM. Osteomyelitis: Diagnosis and Treatment. </w:t>
      </w:r>
      <w:r w:rsidRPr="00E571AF">
        <w:rPr>
          <w:rFonts w:ascii="Arial" w:hAnsi="Arial" w:cs="Arial"/>
          <w:i/>
          <w:iCs/>
        </w:rPr>
        <w:t>Am Fam Physician</w:t>
      </w:r>
      <w:r w:rsidRPr="00E571AF">
        <w:rPr>
          <w:rFonts w:ascii="Arial" w:hAnsi="Arial" w:cs="Arial"/>
        </w:rPr>
        <w:t>. 2021;104(4):395-402.</w:t>
      </w:r>
    </w:p>
    <w:p w14:paraId="16BCCA2F" w14:textId="77777777" w:rsidR="00E571AF" w:rsidRPr="00E571AF" w:rsidRDefault="00E571AF" w:rsidP="00E571AF">
      <w:pPr>
        <w:pStyle w:val="Bibliography"/>
        <w:rPr>
          <w:rFonts w:ascii="Arial" w:hAnsi="Arial" w:cs="Arial"/>
        </w:rPr>
      </w:pPr>
      <w:r w:rsidRPr="00E571AF">
        <w:rPr>
          <w:rFonts w:ascii="Arial" w:hAnsi="Arial" w:cs="Arial"/>
        </w:rPr>
        <w:t>3.</w:t>
      </w:r>
      <w:r w:rsidRPr="00E571AF">
        <w:rPr>
          <w:rFonts w:ascii="Arial" w:hAnsi="Arial" w:cs="Arial"/>
        </w:rPr>
        <w:tab/>
        <w:t xml:space="preserve">Masters EA, Trombetta RP, de Mesy Bentley KL, et al. Evolving concepts in bone infection: redefining “biofilm”, “acute vs. chronic osteomyelitis”, “the immune proteome” and “local antibiotic therapy.” </w:t>
      </w:r>
      <w:r w:rsidRPr="00E571AF">
        <w:rPr>
          <w:rFonts w:ascii="Arial" w:hAnsi="Arial" w:cs="Arial"/>
          <w:i/>
          <w:iCs/>
        </w:rPr>
        <w:t>Bone Res</w:t>
      </w:r>
      <w:r w:rsidRPr="00E571AF">
        <w:rPr>
          <w:rFonts w:ascii="Arial" w:hAnsi="Arial" w:cs="Arial"/>
        </w:rPr>
        <w:t>. 2019;7:20. doi:10.1038/s41413-019-0061-z</w:t>
      </w:r>
    </w:p>
    <w:p w14:paraId="63A5220C" w14:textId="77777777" w:rsidR="00E571AF" w:rsidRPr="00E571AF" w:rsidRDefault="00E571AF" w:rsidP="00E571AF">
      <w:pPr>
        <w:pStyle w:val="Bibliography"/>
        <w:rPr>
          <w:rFonts w:ascii="Arial" w:hAnsi="Arial" w:cs="Arial"/>
        </w:rPr>
      </w:pPr>
      <w:r w:rsidRPr="00E571AF">
        <w:rPr>
          <w:rFonts w:ascii="Arial" w:hAnsi="Arial" w:cs="Arial"/>
        </w:rPr>
        <w:t>4.</w:t>
      </w:r>
      <w:r w:rsidRPr="00E571AF">
        <w:rPr>
          <w:rFonts w:ascii="Arial" w:hAnsi="Arial" w:cs="Arial"/>
        </w:rPr>
        <w:tab/>
        <w:t xml:space="preserve">Kremers HM, Nwojo ME, Ransom JE, Wood-Wentz CM, Melton LJ, Huddleston PM. Trends in the Epidemiology of Osteomyelitis. </w:t>
      </w:r>
      <w:r w:rsidRPr="00E571AF">
        <w:rPr>
          <w:rFonts w:ascii="Arial" w:hAnsi="Arial" w:cs="Arial"/>
          <w:i/>
          <w:iCs/>
        </w:rPr>
        <w:t>J Bone Joint Surg Am</w:t>
      </w:r>
      <w:r w:rsidRPr="00E571AF">
        <w:rPr>
          <w:rFonts w:ascii="Arial" w:hAnsi="Arial" w:cs="Arial"/>
        </w:rPr>
        <w:t>. 2015;97(10):837-845. doi:10.2106/JBJS.N.01350</w:t>
      </w:r>
    </w:p>
    <w:p w14:paraId="5118104F" w14:textId="77777777" w:rsidR="00E571AF" w:rsidRPr="00E571AF" w:rsidRDefault="00E571AF" w:rsidP="00E571AF">
      <w:pPr>
        <w:pStyle w:val="Bibliography"/>
        <w:rPr>
          <w:rFonts w:ascii="Arial" w:hAnsi="Arial" w:cs="Arial"/>
        </w:rPr>
      </w:pPr>
      <w:r w:rsidRPr="00E571AF">
        <w:rPr>
          <w:rFonts w:ascii="Arial" w:hAnsi="Arial" w:cs="Arial"/>
        </w:rPr>
        <w:t>5.</w:t>
      </w:r>
      <w:r w:rsidRPr="00E571AF">
        <w:rPr>
          <w:rFonts w:ascii="Arial" w:hAnsi="Arial" w:cs="Arial"/>
        </w:rPr>
        <w:tab/>
        <w:t xml:space="preserve">Armstrong DG, Boulton AJM, Bus SA. Diabetic Foot Ulcers and Their Recurrence. Ingelfinger JR, ed. </w:t>
      </w:r>
      <w:r w:rsidRPr="00E571AF">
        <w:rPr>
          <w:rFonts w:ascii="Arial" w:hAnsi="Arial" w:cs="Arial"/>
          <w:i/>
          <w:iCs/>
        </w:rPr>
        <w:t>N Engl J Med</w:t>
      </w:r>
      <w:r w:rsidRPr="00E571AF">
        <w:rPr>
          <w:rFonts w:ascii="Arial" w:hAnsi="Arial" w:cs="Arial"/>
        </w:rPr>
        <w:t>. 2017;376(24):2367-2375. doi:10.1056/NEJMra1615439</w:t>
      </w:r>
    </w:p>
    <w:p w14:paraId="23367A65" w14:textId="77777777" w:rsidR="00E571AF" w:rsidRPr="00E571AF" w:rsidRDefault="00E571AF" w:rsidP="00E571AF">
      <w:pPr>
        <w:pStyle w:val="Bibliography"/>
        <w:rPr>
          <w:rFonts w:ascii="Arial" w:hAnsi="Arial" w:cs="Arial"/>
        </w:rPr>
      </w:pPr>
      <w:r w:rsidRPr="00E571AF">
        <w:rPr>
          <w:rFonts w:ascii="Arial" w:hAnsi="Arial" w:cs="Arial"/>
        </w:rPr>
        <w:t>6.</w:t>
      </w:r>
      <w:r w:rsidRPr="00E571AF">
        <w:rPr>
          <w:rFonts w:ascii="Arial" w:hAnsi="Arial" w:cs="Arial"/>
        </w:rPr>
        <w:tab/>
        <w:t xml:space="preserve">Waibel FW, Schöni M, Kronberger L, et al. Treatment Failures in Diabetic Foot Osteomyelitis Associated with Concomitant Charcot Arthropathy: The Role of Underlying Arteriopathy. </w:t>
      </w:r>
      <w:r w:rsidRPr="00E571AF">
        <w:rPr>
          <w:rFonts w:ascii="Arial" w:hAnsi="Arial" w:cs="Arial"/>
          <w:i/>
          <w:iCs/>
        </w:rPr>
        <w:t>Int J Infect Dis</w:t>
      </w:r>
      <w:r w:rsidRPr="00E571AF">
        <w:rPr>
          <w:rFonts w:ascii="Arial" w:hAnsi="Arial" w:cs="Arial"/>
        </w:rPr>
        <w:t>. 2022;114:15-20. doi:10.1016/j.ijid.2021.10.036</w:t>
      </w:r>
    </w:p>
    <w:p w14:paraId="7C024A68" w14:textId="77777777" w:rsidR="00E571AF" w:rsidRPr="0026049F" w:rsidRDefault="00E571AF" w:rsidP="00E571AF">
      <w:pPr>
        <w:pStyle w:val="Bibliography"/>
        <w:rPr>
          <w:rFonts w:ascii="Arial" w:hAnsi="Arial" w:cs="Arial"/>
          <w:lang w:val="it-IT"/>
        </w:rPr>
      </w:pPr>
      <w:r w:rsidRPr="00E571AF">
        <w:rPr>
          <w:rFonts w:ascii="Arial" w:hAnsi="Arial" w:cs="Arial"/>
        </w:rPr>
        <w:t>7.</w:t>
      </w:r>
      <w:r w:rsidRPr="00E571AF">
        <w:rPr>
          <w:rFonts w:ascii="Arial" w:hAnsi="Arial" w:cs="Arial"/>
        </w:rPr>
        <w:tab/>
        <w:t xml:space="preserve">Rhee P, Holcomb JB, Zangbar B. Evolving Epidemiology of Increasing Trauma Deaths in the United States (2000-2020). </w:t>
      </w:r>
      <w:r w:rsidRPr="0026049F">
        <w:rPr>
          <w:rFonts w:ascii="Arial" w:hAnsi="Arial" w:cs="Arial"/>
          <w:i/>
          <w:iCs/>
          <w:lang w:val="it-IT"/>
        </w:rPr>
        <w:t>Ann Surg</w:t>
      </w:r>
      <w:r w:rsidRPr="0026049F">
        <w:rPr>
          <w:rFonts w:ascii="Arial" w:hAnsi="Arial" w:cs="Arial"/>
          <w:lang w:val="it-IT"/>
        </w:rPr>
        <w:t>. 2025;281(6):976-981. doi:10.1097/SLA.0000000000006668</w:t>
      </w:r>
    </w:p>
    <w:p w14:paraId="7EED7030" w14:textId="77777777" w:rsidR="00E571AF" w:rsidRPr="00E571AF" w:rsidRDefault="00E571AF" w:rsidP="00E571AF">
      <w:pPr>
        <w:pStyle w:val="Bibliography"/>
        <w:rPr>
          <w:rFonts w:ascii="Arial" w:hAnsi="Arial" w:cs="Arial"/>
        </w:rPr>
      </w:pPr>
      <w:r w:rsidRPr="0026049F">
        <w:rPr>
          <w:rFonts w:ascii="Arial" w:hAnsi="Arial" w:cs="Arial"/>
          <w:lang w:val="it-IT"/>
        </w:rPr>
        <w:t>8.</w:t>
      </w:r>
      <w:r w:rsidRPr="0026049F">
        <w:rPr>
          <w:rFonts w:ascii="Arial" w:hAnsi="Arial" w:cs="Arial"/>
          <w:lang w:val="it-IT"/>
        </w:rPr>
        <w:tab/>
        <w:t xml:space="preserve">Chobufo MD, Atti V, Vasudevan A, et al. </w:t>
      </w:r>
      <w:r w:rsidRPr="00E571AF">
        <w:rPr>
          <w:rFonts w:ascii="Arial" w:hAnsi="Arial" w:cs="Arial"/>
        </w:rPr>
        <w:t xml:space="preserve">Trends in Infective Endocarditis Mortality in the United States: 1999 to 2020: A Cause for Alarm. </w:t>
      </w:r>
      <w:r w:rsidRPr="00E571AF">
        <w:rPr>
          <w:rFonts w:ascii="Arial" w:hAnsi="Arial" w:cs="Arial"/>
          <w:i/>
          <w:iCs/>
        </w:rPr>
        <w:t>J Am Heart Assoc</w:t>
      </w:r>
      <w:r w:rsidRPr="00E571AF">
        <w:rPr>
          <w:rFonts w:ascii="Arial" w:hAnsi="Arial" w:cs="Arial"/>
        </w:rPr>
        <w:t>. 2023;12(24):e031589. doi:10.1161/JAHA.123.031589</w:t>
      </w:r>
    </w:p>
    <w:p w14:paraId="75F5DDBE" w14:textId="77777777" w:rsidR="00E571AF" w:rsidRPr="00E571AF" w:rsidRDefault="00E571AF" w:rsidP="00E571AF">
      <w:pPr>
        <w:pStyle w:val="Bibliography"/>
        <w:rPr>
          <w:rFonts w:ascii="Arial" w:hAnsi="Arial" w:cs="Arial"/>
        </w:rPr>
      </w:pPr>
      <w:r w:rsidRPr="00E571AF">
        <w:rPr>
          <w:rFonts w:ascii="Arial" w:hAnsi="Arial" w:cs="Arial"/>
        </w:rPr>
        <w:t>9.</w:t>
      </w:r>
      <w:r w:rsidRPr="00E571AF">
        <w:rPr>
          <w:rFonts w:ascii="Arial" w:hAnsi="Arial" w:cs="Arial"/>
        </w:rPr>
        <w:tab/>
        <w:t xml:space="preserve">Lessa FC, Mu Y, Bamberg WM, et al. Burden of Clostridium difficile Infection in the United States. </w:t>
      </w:r>
      <w:r w:rsidRPr="00E571AF">
        <w:rPr>
          <w:rFonts w:ascii="Arial" w:hAnsi="Arial" w:cs="Arial"/>
          <w:i/>
          <w:iCs/>
        </w:rPr>
        <w:t>N Engl J Med</w:t>
      </w:r>
      <w:r w:rsidRPr="00E571AF">
        <w:rPr>
          <w:rFonts w:ascii="Arial" w:hAnsi="Arial" w:cs="Arial"/>
        </w:rPr>
        <w:t>. 2015;372(9):825-834. doi:10.1056/NEJMoa1408913</w:t>
      </w:r>
    </w:p>
    <w:p w14:paraId="7448A90C" w14:textId="77777777" w:rsidR="00E571AF" w:rsidRPr="00E571AF" w:rsidRDefault="00E571AF" w:rsidP="00E571AF">
      <w:pPr>
        <w:pStyle w:val="Bibliography"/>
        <w:rPr>
          <w:rFonts w:ascii="Arial" w:hAnsi="Arial" w:cs="Arial"/>
        </w:rPr>
      </w:pPr>
      <w:r w:rsidRPr="00E571AF">
        <w:rPr>
          <w:rFonts w:ascii="Arial" w:hAnsi="Arial" w:cs="Arial"/>
        </w:rPr>
        <w:t>10.</w:t>
      </w:r>
      <w:r w:rsidRPr="00E571AF">
        <w:rPr>
          <w:rFonts w:ascii="Arial" w:hAnsi="Arial" w:cs="Arial"/>
        </w:rPr>
        <w:tab/>
        <w:t xml:space="preserve">Jeffcoate WJ, Vileikyte L, Boyko EJ, Armstrong DG, Boulton AJM. Current Challenges and Opportunities in the Prevention and Management of Diabetic Foot Ulcers. </w:t>
      </w:r>
      <w:r w:rsidRPr="00E571AF">
        <w:rPr>
          <w:rFonts w:ascii="Arial" w:hAnsi="Arial" w:cs="Arial"/>
          <w:i/>
          <w:iCs/>
        </w:rPr>
        <w:t>Diabetes Care</w:t>
      </w:r>
      <w:r w:rsidRPr="00E571AF">
        <w:rPr>
          <w:rFonts w:ascii="Arial" w:hAnsi="Arial" w:cs="Arial"/>
        </w:rPr>
        <w:t>. 2018;41(4):645-652. doi:10.2337/dc17-1836</w:t>
      </w:r>
    </w:p>
    <w:p w14:paraId="228A2846" w14:textId="77777777" w:rsidR="00E571AF" w:rsidRPr="00E571AF" w:rsidRDefault="00E571AF" w:rsidP="00E571AF">
      <w:pPr>
        <w:pStyle w:val="Bibliography"/>
        <w:rPr>
          <w:rFonts w:ascii="Arial" w:hAnsi="Arial" w:cs="Arial"/>
        </w:rPr>
      </w:pPr>
      <w:r w:rsidRPr="00E571AF">
        <w:rPr>
          <w:rFonts w:ascii="Arial" w:hAnsi="Arial" w:cs="Arial"/>
        </w:rPr>
        <w:t>11.</w:t>
      </w:r>
      <w:r w:rsidRPr="00E571AF">
        <w:rPr>
          <w:rFonts w:ascii="Arial" w:hAnsi="Arial" w:cs="Arial"/>
        </w:rPr>
        <w:tab/>
        <w:t xml:space="preserve">Meyr AJ, Singh S, Zhang X, et al. Statistical reliability of bone biopsy for the diagnosis of diabetic foot osteomyelitis. </w:t>
      </w:r>
      <w:r w:rsidRPr="00E571AF">
        <w:rPr>
          <w:rFonts w:ascii="Arial" w:hAnsi="Arial" w:cs="Arial"/>
          <w:i/>
          <w:iCs/>
        </w:rPr>
        <w:t>J Foot Ankle Surg Off Publ Am Coll Foot Ankle Surg</w:t>
      </w:r>
      <w:r w:rsidRPr="00E571AF">
        <w:rPr>
          <w:rFonts w:ascii="Arial" w:hAnsi="Arial" w:cs="Arial"/>
        </w:rPr>
        <w:t>. 2011;50(6):663-667. doi:10.1053/j.jfas.2011.08.005</w:t>
      </w:r>
    </w:p>
    <w:p w14:paraId="2937C319" w14:textId="77777777" w:rsidR="00E571AF" w:rsidRPr="00E571AF" w:rsidRDefault="00E571AF" w:rsidP="00E571AF">
      <w:pPr>
        <w:pStyle w:val="Bibliography"/>
        <w:rPr>
          <w:rFonts w:ascii="Arial" w:hAnsi="Arial" w:cs="Arial"/>
        </w:rPr>
      </w:pPr>
      <w:r w:rsidRPr="00E571AF">
        <w:rPr>
          <w:rFonts w:ascii="Arial" w:hAnsi="Arial" w:cs="Arial"/>
        </w:rPr>
        <w:t>12.</w:t>
      </w:r>
      <w:r w:rsidRPr="00E571AF">
        <w:rPr>
          <w:rFonts w:ascii="Arial" w:hAnsi="Arial" w:cs="Arial"/>
        </w:rPr>
        <w:tab/>
        <w:t xml:space="preserve">Jhaveri VV, Sullivan C, Ward A, et al. More Specialties, Fewer Problems: Using Collaborative Competency Between Infectious Diseases, Podiatry, and Pathology to </w:t>
      </w:r>
      <w:r w:rsidRPr="00E571AF">
        <w:rPr>
          <w:rFonts w:ascii="Arial" w:hAnsi="Arial" w:cs="Arial"/>
        </w:rPr>
        <w:lastRenderedPageBreak/>
        <w:t xml:space="preserve">Improve the Care of Patients with Diabetic Foot Osteomyelitis. </w:t>
      </w:r>
      <w:r w:rsidRPr="00E571AF">
        <w:rPr>
          <w:rFonts w:ascii="Arial" w:hAnsi="Arial" w:cs="Arial"/>
          <w:i/>
          <w:iCs/>
        </w:rPr>
        <w:t>J Am Podiatr Med Assoc</w:t>
      </w:r>
      <w:r w:rsidRPr="00E571AF">
        <w:rPr>
          <w:rFonts w:ascii="Arial" w:hAnsi="Arial" w:cs="Arial"/>
        </w:rPr>
        <w:t>. 2022;112(6):20-178. doi:10.7547/20-178</w:t>
      </w:r>
    </w:p>
    <w:p w14:paraId="70C6B548" w14:textId="5B445C5D" w:rsidR="001A2A11" w:rsidRDefault="0001183B" w:rsidP="00E571AF">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169"/>
        <w:gridCol w:w="1169"/>
      </w:tblGrid>
      <w:tr w:rsidR="00250C37" w14:paraId="0CAA897C" w14:textId="77777777" w:rsidTr="00250C37">
        <w:tc>
          <w:tcPr>
            <w:tcW w:w="1168" w:type="dxa"/>
          </w:tcPr>
          <w:p w14:paraId="51B07B1E" w14:textId="7A8AC440" w:rsidR="00AE2E55" w:rsidRPr="00E702D1" w:rsidRDefault="00AE2E55" w:rsidP="00CB01B5">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CB01B5">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CB01B5">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CB01B5">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CB01B5">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CB01B5">
            <w:pPr>
              <w:rPr>
                <w:rFonts w:ascii="Arial" w:hAnsi="Arial" w:cs="Arial"/>
                <w:b/>
                <w:bCs/>
                <w:sz w:val="22"/>
                <w:szCs w:val="22"/>
              </w:rPr>
            </w:pPr>
            <w:r w:rsidRPr="00E702D1">
              <w:rPr>
                <w:rFonts w:ascii="Arial" w:hAnsi="Arial" w:cs="Arial"/>
                <w:b/>
                <w:bCs/>
                <w:sz w:val="22"/>
                <w:szCs w:val="22"/>
              </w:rPr>
              <w:t>APC (%)</w:t>
            </w:r>
          </w:p>
        </w:tc>
        <w:tc>
          <w:tcPr>
            <w:tcW w:w="1169" w:type="dxa"/>
          </w:tcPr>
          <w:p w14:paraId="2FEC0D05" w14:textId="6CDED4AE" w:rsidR="00AE2E55" w:rsidRPr="00E702D1" w:rsidRDefault="00AE2E55" w:rsidP="00CB01B5">
            <w:pPr>
              <w:rPr>
                <w:rFonts w:ascii="Arial" w:hAnsi="Arial" w:cs="Arial"/>
                <w:b/>
                <w:bCs/>
                <w:sz w:val="22"/>
                <w:szCs w:val="22"/>
              </w:rPr>
            </w:pPr>
            <w:r w:rsidRPr="00E702D1">
              <w:rPr>
                <w:rFonts w:ascii="Arial" w:hAnsi="Arial" w:cs="Arial"/>
                <w:b/>
                <w:bCs/>
                <w:sz w:val="22"/>
                <w:szCs w:val="22"/>
              </w:rPr>
              <w:t>APC (%) 95% CI</w:t>
            </w:r>
          </w:p>
        </w:tc>
        <w:tc>
          <w:tcPr>
            <w:tcW w:w="1169" w:type="dxa"/>
          </w:tcPr>
          <w:p w14:paraId="0DBC5236" w14:textId="10351022" w:rsidR="00AE2E55" w:rsidRPr="00E702D1" w:rsidRDefault="00AE2E55" w:rsidP="00CB01B5">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250C37">
        <w:tc>
          <w:tcPr>
            <w:tcW w:w="1168" w:type="dxa"/>
          </w:tcPr>
          <w:p w14:paraId="0568FF71" w14:textId="37929FD7" w:rsidR="00AE2E55" w:rsidRPr="00E702D1" w:rsidRDefault="00AE2E55" w:rsidP="00CB01B5">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CB01B5">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CB01B5">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CB01B5">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CB01B5">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CB01B5">
            <w:pPr>
              <w:rPr>
                <w:rFonts w:ascii="Arial" w:hAnsi="Arial" w:cs="Arial"/>
                <w:sz w:val="22"/>
                <w:szCs w:val="22"/>
              </w:rPr>
            </w:pPr>
            <w:r w:rsidRPr="00E702D1">
              <w:rPr>
                <w:rFonts w:ascii="Arial" w:hAnsi="Arial" w:cs="Arial"/>
                <w:sz w:val="22"/>
                <w:szCs w:val="22"/>
              </w:rPr>
              <w:t>3.54</w:t>
            </w:r>
          </w:p>
        </w:tc>
        <w:tc>
          <w:tcPr>
            <w:tcW w:w="1169" w:type="dxa"/>
          </w:tcPr>
          <w:p w14:paraId="752B19B9" w14:textId="6040C1AC" w:rsidR="00AE2E55" w:rsidRPr="00E702D1" w:rsidRDefault="00AE2E55" w:rsidP="00CB01B5">
            <w:pPr>
              <w:rPr>
                <w:rFonts w:ascii="Arial" w:hAnsi="Arial" w:cs="Arial"/>
                <w:sz w:val="22"/>
                <w:szCs w:val="22"/>
              </w:rPr>
            </w:pPr>
            <w:r w:rsidRPr="00E702D1">
              <w:rPr>
                <w:rFonts w:ascii="Arial" w:hAnsi="Arial" w:cs="Arial"/>
                <w:sz w:val="22"/>
                <w:szCs w:val="22"/>
              </w:rPr>
              <w:t>2.8, 4.28</w:t>
            </w:r>
          </w:p>
        </w:tc>
        <w:tc>
          <w:tcPr>
            <w:tcW w:w="1169" w:type="dxa"/>
          </w:tcPr>
          <w:p w14:paraId="1186BFA7" w14:textId="1F7BF46D"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CB01B5">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250C37">
        <w:tc>
          <w:tcPr>
            <w:tcW w:w="1168" w:type="dxa"/>
          </w:tcPr>
          <w:p w14:paraId="32224A8A" w14:textId="1949CBC6" w:rsidR="00AE2E55" w:rsidRPr="00E702D1" w:rsidRDefault="00AE2E55" w:rsidP="00CB01B5">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CB01B5">
            <w:pPr>
              <w:rPr>
                <w:rFonts w:ascii="Arial" w:hAnsi="Arial" w:cs="Arial"/>
                <w:sz w:val="22"/>
                <w:szCs w:val="22"/>
              </w:rPr>
            </w:pPr>
            <w:r w:rsidRPr="00E702D1">
              <w:rPr>
                <w:rFonts w:ascii="Arial" w:hAnsi="Arial" w:cs="Arial"/>
                <w:sz w:val="22"/>
                <w:szCs w:val="22"/>
              </w:rPr>
              <w:t>0.47</w:t>
            </w:r>
          </w:p>
        </w:tc>
        <w:tc>
          <w:tcPr>
            <w:tcW w:w="1169" w:type="dxa"/>
          </w:tcPr>
          <w:p w14:paraId="1989A292" w14:textId="1DF9502F" w:rsidR="00AE2E55" w:rsidRPr="00E702D1" w:rsidRDefault="00BE3369" w:rsidP="00CB01B5">
            <w:pPr>
              <w:rPr>
                <w:rFonts w:ascii="Arial" w:hAnsi="Arial" w:cs="Arial"/>
                <w:sz w:val="22"/>
                <w:szCs w:val="22"/>
              </w:rPr>
            </w:pPr>
            <w:r>
              <w:rPr>
                <w:rFonts w:ascii="Arial" w:hAnsi="Arial" w:cs="Arial"/>
                <w:sz w:val="22"/>
                <w:szCs w:val="22"/>
              </w:rPr>
              <w:t>488</w:t>
            </w:r>
          </w:p>
        </w:tc>
        <w:tc>
          <w:tcPr>
            <w:tcW w:w="1169" w:type="dxa"/>
          </w:tcPr>
          <w:p w14:paraId="53854C4D" w14:textId="19C45C86" w:rsidR="00AE2E55" w:rsidRPr="00E702D1" w:rsidRDefault="001540F8" w:rsidP="00CB01B5">
            <w:pPr>
              <w:rPr>
                <w:rFonts w:ascii="Arial" w:hAnsi="Arial" w:cs="Arial"/>
                <w:sz w:val="22"/>
                <w:szCs w:val="22"/>
              </w:rPr>
            </w:pPr>
            <w:r>
              <w:rPr>
                <w:rFonts w:ascii="Arial" w:hAnsi="Arial" w:cs="Arial"/>
                <w:sz w:val="22"/>
                <w:szCs w:val="22"/>
              </w:rPr>
              <w:t>1.44</w:t>
            </w:r>
          </w:p>
        </w:tc>
        <w:tc>
          <w:tcPr>
            <w:tcW w:w="1168" w:type="dxa"/>
          </w:tcPr>
          <w:p w14:paraId="080D579A" w14:textId="0194D1A3" w:rsidR="00AE2E55" w:rsidRPr="00E702D1" w:rsidRDefault="00D65E88" w:rsidP="00CB01B5">
            <w:pPr>
              <w:rPr>
                <w:rFonts w:ascii="Arial" w:hAnsi="Arial" w:cs="Arial"/>
                <w:sz w:val="22"/>
                <w:szCs w:val="22"/>
              </w:rPr>
            </w:pPr>
            <w:r>
              <w:rPr>
                <w:rFonts w:ascii="Arial" w:hAnsi="Arial" w:cs="Arial"/>
                <w:sz w:val="22"/>
                <w:szCs w:val="22"/>
              </w:rPr>
              <w:t>2,700</w:t>
            </w:r>
          </w:p>
        </w:tc>
        <w:tc>
          <w:tcPr>
            <w:tcW w:w="1169" w:type="dxa"/>
          </w:tcPr>
          <w:p w14:paraId="3BCD0AC0" w14:textId="4B67DEA6" w:rsidR="00AE2E55" w:rsidRPr="00E702D1" w:rsidRDefault="00D1590E" w:rsidP="00CB01B5">
            <w:pPr>
              <w:rPr>
                <w:rFonts w:ascii="Arial" w:hAnsi="Arial" w:cs="Arial"/>
                <w:sz w:val="22"/>
                <w:szCs w:val="22"/>
              </w:rPr>
            </w:pPr>
            <w:r>
              <w:rPr>
                <w:rFonts w:ascii="Arial" w:hAnsi="Arial" w:cs="Arial"/>
                <w:sz w:val="22"/>
                <w:szCs w:val="22"/>
              </w:rPr>
              <w:t>3.92</w:t>
            </w:r>
          </w:p>
        </w:tc>
        <w:tc>
          <w:tcPr>
            <w:tcW w:w="1169" w:type="dxa"/>
          </w:tcPr>
          <w:p w14:paraId="44224D5A" w14:textId="7AA4CC98" w:rsidR="00AE2E55" w:rsidRPr="00E702D1" w:rsidRDefault="00F356D6" w:rsidP="00CB01B5">
            <w:pPr>
              <w:rPr>
                <w:rFonts w:ascii="Arial" w:hAnsi="Arial" w:cs="Arial"/>
                <w:sz w:val="22"/>
                <w:szCs w:val="22"/>
              </w:rPr>
            </w:pPr>
            <w:r>
              <w:rPr>
                <w:rFonts w:ascii="Arial" w:hAnsi="Arial" w:cs="Arial"/>
                <w:sz w:val="22"/>
                <w:szCs w:val="22"/>
              </w:rPr>
              <w:t xml:space="preserve">3.23, </w:t>
            </w:r>
            <w:r w:rsidR="00455D0B">
              <w:rPr>
                <w:rFonts w:ascii="Arial" w:hAnsi="Arial" w:cs="Arial"/>
                <w:sz w:val="22"/>
                <w:szCs w:val="22"/>
              </w:rPr>
              <w:t>4.61</w:t>
            </w:r>
          </w:p>
        </w:tc>
        <w:tc>
          <w:tcPr>
            <w:tcW w:w="1169" w:type="dxa"/>
          </w:tcPr>
          <w:p w14:paraId="72FE5B38" w14:textId="24C1C076"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250C37">
        <w:tc>
          <w:tcPr>
            <w:tcW w:w="1168" w:type="dxa"/>
          </w:tcPr>
          <w:p w14:paraId="1758AB63" w14:textId="5F8193F0" w:rsidR="00AE2E55" w:rsidRPr="00E702D1" w:rsidRDefault="00AE2E55" w:rsidP="00CB01B5">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CB01B5">
            <w:pPr>
              <w:rPr>
                <w:rFonts w:ascii="Arial" w:hAnsi="Arial" w:cs="Arial"/>
                <w:sz w:val="22"/>
                <w:szCs w:val="22"/>
              </w:rPr>
            </w:pPr>
            <w:r w:rsidRPr="00E702D1">
              <w:rPr>
                <w:rFonts w:ascii="Arial" w:hAnsi="Arial" w:cs="Arial"/>
                <w:sz w:val="22"/>
                <w:szCs w:val="22"/>
              </w:rPr>
              <w:t>0.33</w:t>
            </w:r>
          </w:p>
        </w:tc>
        <w:tc>
          <w:tcPr>
            <w:tcW w:w="1169" w:type="dxa"/>
          </w:tcPr>
          <w:p w14:paraId="242C8345" w14:textId="0005AF6E" w:rsidR="00AE2E55" w:rsidRPr="00E702D1" w:rsidRDefault="00C54073" w:rsidP="00CB01B5">
            <w:pPr>
              <w:rPr>
                <w:rFonts w:ascii="Arial" w:hAnsi="Arial" w:cs="Arial"/>
                <w:sz w:val="22"/>
                <w:szCs w:val="22"/>
              </w:rPr>
            </w:pPr>
            <w:r>
              <w:rPr>
                <w:rFonts w:ascii="Arial" w:hAnsi="Arial" w:cs="Arial"/>
                <w:sz w:val="22"/>
                <w:szCs w:val="22"/>
              </w:rPr>
              <w:t>580</w:t>
            </w:r>
          </w:p>
        </w:tc>
        <w:tc>
          <w:tcPr>
            <w:tcW w:w="1169" w:type="dxa"/>
          </w:tcPr>
          <w:p w14:paraId="6B969A1B" w14:textId="230DE5AD" w:rsidR="00AE2E55" w:rsidRPr="00E702D1" w:rsidRDefault="00D32A2D" w:rsidP="00CB01B5">
            <w:pPr>
              <w:rPr>
                <w:rFonts w:ascii="Arial" w:hAnsi="Arial" w:cs="Arial"/>
                <w:sz w:val="22"/>
                <w:szCs w:val="22"/>
              </w:rPr>
            </w:pPr>
            <w:r>
              <w:rPr>
                <w:rFonts w:ascii="Arial" w:hAnsi="Arial" w:cs="Arial"/>
                <w:sz w:val="22"/>
                <w:szCs w:val="22"/>
              </w:rPr>
              <w:t>0.83</w:t>
            </w:r>
          </w:p>
        </w:tc>
        <w:tc>
          <w:tcPr>
            <w:tcW w:w="1168" w:type="dxa"/>
          </w:tcPr>
          <w:p w14:paraId="5CFE4806" w14:textId="1ABD7E2F" w:rsidR="00AE2E55" w:rsidRPr="00E702D1" w:rsidRDefault="007223F7" w:rsidP="00CB01B5">
            <w:pPr>
              <w:rPr>
                <w:rFonts w:ascii="Arial" w:hAnsi="Arial" w:cs="Arial"/>
                <w:sz w:val="22"/>
                <w:szCs w:val="22"/>
              </w:rPr>
            </w:pPr>
            <w:r>
              <w:rPr>
                <w:rFonts w:ascii="Arial" w:hAnsi="Arial" w:cs="Arial"/>
                <w:sz w:val="22"/>
                <w:szCs w:val="22"/>
              </w:rPr>
              <w:t>1,977</w:t>
            </w:r>
          </w:p>
        </w:tc>
        <w:tc>
          <w:tcPr>
            <w:tcW w:w="1169" w:type="dxa"/>
          </w:tcPr>
          <w:p w14:paraId="0BA2F83F" w14:textId="34C0A64E" w:rsidR="00AE2E55" w:rsidRPr="00E702D1" w:rsidRDefault="00D1590E" w:rsidP="00CB01B5">
            <w:pPr>
              <w:rPr>
                <w:rFonts w:ascii="Arial" w:hAnsi="Arial" w:cs="Arial"/>
                <w:sz w:val="22"/>
                <w:szCs w:val="22"/>
              </w:rPr>
            </w:pPr>
            <w:r>
              <w:rPr>
                <w:rFonts w:ascii="Arial" w:hAnsi="Arial" w:cs="Arial"/>
                <w:sz w:val="22"/>
                <w:szCs w:val="22"/>
              </w:rPr>
              <w:t>3.05</w:t>
            </w:r>
          </w:p>
        </w:tc>
        <w:tc>
          <w:tcPr>
            <w:tcW w:w="1169" w:type="dxa"/>
          </w:tcPr>
          <w:p w14:paraId="061A34B9" w14:textId="346ABE9E" w:rsidR="00AE2E55" w:rsidRPr="00E702D1" w:rsidRDefault="00786747" w:rsidP="00CB01B5">
            <w:pPr>
              <w:rPr>
                <w:rFonts w:ascii="Arial" w:hAnsi="Arial" w:cs="Arial"/>
                <w:sz w:val="22"/>
                <w:szCs w:val="22"/>
              </w:rPr>
            </w:pPr>
            <w:r>
              <w:rPr>
                <w:rFonts w:ascii="Arial" w:hAnsi="Arial" w:cs="Arial"/>
                <w:sz w:val="22"/>
                <w:szCs w:val="22"/>
              </w:rPr>
              <w:t xml:space="preserve">2.21, </w:t>
            </w:r>
            <w:r w:rsidR="00874EAD">
              <w:rPr>
                <w:rFonts w:ascii="Arial" w:hAnsi="Arial" w:cs="Arial"/>
                <w:sz w:val="22"/>
                <w:szCs w:val="22"/>
              </w:rPr>
              <w:t>3.89</w:t>
            </w:r>
          </w:p>
        </w:tc>
        <w:tc>
          <w:tcPr>
            <w:tcW w:w="1169" w:type="dxa"/>
          </w:tcPr>
          <w:p w14:paraId="36655AA6" w14:textId="19643497"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CB01B5">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250C37">
        <w:tc>
          <w:tcPr>
            <w:tcW w:w="1168" w:type="dxa"/>
          </w:tcPr>
          <w:p w14:paraId="7874DD5A" w14:textId="7EDEAC58" w:rsidR="00AE2E55" w:rsidRPr="00E702D1" w:rsidRDefault="00AE2E55" w:rsidP="00CB01B5">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CB01B5">
            <w:pPr>
              <w:rPr>
                <w:rFonts w:ascii="Arial" w:hAnsi="Arial" w:cs="Arial"/>
                <w:sz w:val="22"/>
                <w:szCs w:val="22"/>
              </w:rPr>
            </w:pPr>
            <w:r w:rsidRPr="00E702D1">
              <w:rPr>
                <w:rFonts w:ascii="Arial" w:hAnsi="Arial" w:cs="Arial"/>
                <w:sz w:val="22"/>
                <w:szCs w:val="22"/>
              </w:rPr>
              <w:t>0.35</w:t>
            </w:r>
          </w:p>
        </w:tc>
        <w:tc>
          <w:tcPr>
            <w:tcW w:w="1169" w:type="dxa"/>
          </w:tcPr>
          <w:p w14:paraId="543CDA1E" w14:textId="65D362F5" w:rsidR="00AE2E55" w:rsidRPr="00E702D1" w:rsidRDefault="00116CED" w:rsidP="00CB01B5">
            <w:pPr>
              <w:rPr>
                <w:rFonts w:ascii="Arial" w:hAnsi="Arial" w:cs="Arial"/>
                <w:sz w:val="22"/>
                <w:szCs w:val="22"/>
              </w:rPr>
            </w:pPr>
            <w:r>
              <w:rPr>
                <w:rFonts w:ascii="Arial" w:hAnsi="Arial" w:cs="Arial"/>
                <w:sz w:val="22"/>
                <w:szCs w:val="22"/>
              </w:rPr>
              <w:t>831</w:t>
            </w:r>
          </w:p>
        </w:tc>
        <w:tc>
          <w:tcPr>
            <w:tcW w:w="1169" w:type="dxa"/>
          </w:tcPr>
          <w:p w14:paraId="1EDC08D8" w14:textId="650C1BC0" w:rsidR="00AE2E55" w:rsidRPr="00E702D1" w:rsidRDefault="00CF1B1A" w:rsidP="00CB01B5">
            <w:pPr>
              <w:rPr>
                <w:rFonts w:ascii="Arial" w:hAnsi="Arial" w:cs="Arial"/>
                <w:sz w:val="22"/>
                <w:szCs w:val="22"/>
              </w:rPr>
            </w:pPr>
            <w:r>
              <w:rPr>
                <w:rFonts w:ascii="Arial" w:hAnsi="Arial" w:cs="Arial"/>
                <w:sz w:val="22"/>
                <w:szCs w:val="22"/>
              </w:rPr>
              <w:t>1.08</w:t>
            </w:r>
          </w:p>
        </w:tc>
        <w:tc>
          <w:tcPr>
            <w:tcW w:w="1168" w:type="dxa"/>
          </w:tcPr>
          <w:p w14:paraId="171787C4" w14:textId="2D8CC552" w:rsidR="00AE2E55" w:rsidRPr="00E702D1" w:rsidRDefault="00116CED" w:rsidP="00CB01B5">
            <w:pPr>
              <w:rPr>
                <w:rFonts w:ascii="Arial" w:hAnsi="Arial" w:cs="Arial"/>
                <w:sz w:val="22"/>
                <w:szCs w:val="22"/>
              </w:rPr>
            </w:pPr>
            <w:r>
              <w:rPr>
                <w:rFonts w:ascii="Arial" w:hAnsi="Arial" w:cs="Arial"/>
                <w:sz w:val="22"/>
                <w:szCs w:val="22"/>
              </w:rPr>
              <w:t>3,381</w:t>
            </w:r>
          </w:p>
        </w:tc>
        <w:tc>
          <w:tcPr>
            <w:tcW w:w="1169" w:type="dxa"/>
          </w:tcPr>
          <w:p w14:paraId="7A4BFED0" w14:textId="2976F3AE" w:rsidR="00AE2E55" w:rsidRPr="00E702D1" w:rsidRDefault="00B12301" w:rsidP="00CB01B5">
            <w:pPr>
              <w:rPr>
                <w:rFonts w:ascii="Arial" w:hAnsi="Arial" w:cs="Arial"/>
                <w:sz w:val="22"/>
                <w:szCs w:val="22"/>
              </w:rPr>
            </w:pPr>
            <w:r>
              <w:rPr>
                <w:rFonts w:ascii="Arial" w:hAnsi="Arial" w:cs="Arial"/>
                <w:sz w:val="22"/>
                <w:szCs w:val="22"/>
              </w:rPr>
              <w:t>4.01</w:t>
            </w:r>
          </w:p>
        </w:tc>
        <w:tc>
          <w:tcPr>
            <w:tcW w:w="1169" w:type="dxa"/>
          </w:tcPr>
          <w:p w14:paraId="507B622E" w14:textId="44CC379B" w:rsidR="00AE2E55" w:rsidRPr="00E702D1" w:rsidRDefault="00037154" w:rsidP="00CB01B5">
            <w:pPr>
              <w:rPr>
                <w:rFonts w:ascii="Arial" w:hAnsi="Arial" w:cs="Arial"/>
                <w:sz w:val="22"/>
                <w:szCs w:val="22"/>
              </w:rPr>
            </w:pPr>
            <w:r>
              <w:rPr>
                <w:rFonts w:ascii="Arial" w:hAnsi="Arial" w:cs="Arial"/>
                <w:sz w:val="22"/>
                <w:szCs w:val="22"/>
              </w:rPr>
              <w:t xml:space="preserve">3.28, </w:t>
            </w:r>
            <w:r w:rsidR="00B6340B">
              <w:rPr>
                <w:rFonts w:ascii="Arial" w:hAnsi="Arial" w:cs="Arial"/>
                <w:sz w:val="22"/>
                <w:szCs w:val="22"/>
              </w:rPr>
              <w:t>4.75</w:t>
            </w:r>
          </w:p>
        </w:tc>
        <w:tc>
          <w:tcPr>
            <w:tcW w:w="1169" w:type="dxa"/>
          </w:tcPr>
          <w:p w14:paraId="287258DA" w14:textId="391DCF08"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250C37">
        <w:tc>
          <w:tcPr>
            <w:tcW w:w="1168" w:type="dxa"/>
          </w:tcPr>
          <w:p w14:paraId="0E48D426" w14:textId="7835B381" w:rsidR="00AE2E55" w:rsidRPr="00E702D1" w:rsidRDefault="00AE2E55" w:rsidP="00CB01B5">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CB01B5">
            <w:pPr>
              <w:rPr>
                <w:rFonts w:ascii="Arial" w:hAnsi="Arial" w:cs="Arial"/>
                <w:sz w:val="22"/>
                <w:szCs w:val="22"/>
              </w:rPr>
            </w:pPr>
            <w:r w:rsidRPr="00E702D1">
              <w:rPr>
                <w:rFonts w:ascii="Arial" w:hAnsi="Arial" w:cs="Arial"/>
                <w:sz w:val="22"/>
                <w:szCs w:val="22"/>
              </w:rPr>
              <w:t>0.76</w:t>
            </w:r>
          </w:p>
        </w:tc>
        <w:tc>
          <w:tcPr>
            <w:tcW w:w="1169" w:type="dxa"/>
          </w:tcPr>
          <w:p w14:paraId="39DAAADC" w14:textId="4D053ED4" w:rsidR="00AE2E55" w:rsidRPr="00E702D1" w:rsidRDefault="00DF1E02" w:rsidP="00CB01B5">
            <w:pPr>
              <w:rPr>
                <w:rFonts w:ascii="Arial" w:hAnsi="Arial" w:cs="Arial"/>
                <w:sz w:val="22"/>
                <w:szCs w:val="22"/>
              </w:rPr>
            </w:pPr>
            <w:r>
              <w:rPr>
                <w:rFonts w:ascii="Arial" w:hAnsi="Arial" w:cs="Arial"/>
                <w:sz w:val="22"/>
                <w:szCs w:val="22"/>
              </w:rPr>
              <w:t>166</w:t>
            </w:r>
          </w:p>
        </w:tc>
        <w:tc>
          <w:tcPr>
            <w:tcW w:w="1169" w:type="dxa"/>
          </w:tcPr>
          <w:p w14:paraId="51F2B249" w14:textId="2EB09AC3" w:rsidR="00AE2E55" w:rsidRPr="00E702D1" w:rsidRDefault="007916A0" w:rsidP="00CB01B5">
            <w:pPr>
              <w:rPr>
                <w:rFonts w:ascii="Arial" w:hAnsi="Arial" w:cs="Arial"/>
                <w:sz w:val="22"/>
                <w:szCs w:val="22"/>
              </w:rPr>
            </w:pPr>
            <w:r>
              <w:rPr>
                <w:rFonts w:ascii="Arial" w:hAnsi="Arial" w:cs="Arial"/>
                <w:sz w:val="22"/>
                <w:szCs w:val="22"/>
              </w:rPr>
              <w:t>2</w:t>
            </w:r>
          </w:p>
        </w:tc>
        <w:tc>
          <w:tcPr>
            <w:tcW w:w="1168" w:type="dxa"/>
          </w:tcPr>
          <w:p w14:paraId="73087951" w14:textId="6DA3BA9B" w:rsidR="00AE2E55" w:rsidRPr="00E702D1" w:rsidRDefault="00CB1633" w:rsidP="00CB01B5">
            <w:pPr>
              <w:rPr>
                <w:rFonts w:ascii="Arial" w:hAnsi="Arial" w:cs="Arial"/>
                <w:sz w:val="22"/>
                <w:szCs w:val="22"/>
              </w:rPr>
            </w:pPr>
            <w:r>
              <w:rPr>
                <w:rFonts w:ascii="Arial" w:hAnsi="Arial" w:cs="Arial"/>
                <w:sz w:val="22"/>
                <w:szCs w:val="22"/>
              </w:rPr>
              <w:t>821</w:t>
            </w:r>
          </w:p>
        </w:tc>
        <w:tc>
          <w:tcPr>
            <w:tcW w:w="1169" w:type="dxa"/>
          </w:tcPr>
          <w:p w14:paraId="66AE872A" w14:textId="7DC16A44" w:rsidR="00AE2E55" w:rsidRPr="00E702D1" w:rsidRDefault="00B12301" w:rsidP="00CB01B5">
            <w:pPr>
              <w:rPr>
                <w:rFonts w:ascii="Arial" w:hAnsi="Arial" w:cs="Arial"/>
                <w:sz w:val="22"/>
                <w:szCs w:val="22"/>
              </w:rPr>
            </w:pPr>
            <w:r>
              <w:rPr>
                <w:rFonts w:ascii="Arial" w:hAnsi="Arial" w:cs="Arial"/>
                <w:sz w:val="22"/>
                <w:szCs w:val="22"/>
              </w:rPr>
              <w:t>2.49</w:t>
            </w:r>
          </w:p>
        </w:tc>
        <w:tc>
          <w:tcPr>
            <w:tcW w:w="1169" w:type="dxa"/>
          </w:tcPr>
          <w:p w14:paraId="50843EA2" w14:textId="70A058F2" w:rsidR="00AE2E55" w:rsidRPr="00E702D1" w:rsidRDefault="003B45CF" w:rsidP="00CB01B5">
            <w:pPr>
              <w:rPr>
                <w:rFonts w:ascii="Arial" w:hAnsi="Arial" w:cs="Arial"/>
                <w:sz w:val="22"/>
                <w:szCs w:val="22"/>
              </w:rPr>
            </w:pPr>
            <w:r>
              <w:rPr>
                <w:rFonts w:ascii="Arial" w:hAnsi="Arial" w:cs="Arial"/>
                <w:sz w:val="22"/>
                <w:szCs w:val="22"/>
              </w:rPr>
              <w:t xml:space="preserve">1.37, </w:t>
            </w:r>
            <w:r w:rsidR="00BA2191">
              <w:rPr>
                <w:rFonts w:ascii="Arial" w:hAnsi="Arial" w:cs="Arial"/>
                <w:sz w:val="22"/>
                <w:szCs w:val="22"/>
              </w:rPr>
              <w:t>3.62</w:t>
            </w:r>
          </w:p>
        </w:tc>
        <w:tc>
          <w:tcPr>
            <w:tcW w:w="1169" w:type="dxa"/>
          </w:tcPr>
          <w:p w14:paraId="7C63A7A9" w14:textId="47874041" w:rsidR="00AE2E55" w:rsidRPr="00E702D1" w:rsidRDefault="00815FE5" w:rsidP="00CB01B5">
            <w:pPr>
              <w:rPr>
                <w:rFonts w:ascii="Arial" w:hAnsi="Arial" w:cs="Arial"/>
                <w:b/>
                <w:bCs/>
                <w:sz w:val="22"/>
                <w:szCs w:val="22"/>
              </w:rPr>
            </w:pPr>
            <w:r w:rsidRPr="00E702D1">
              <w:rPr>
                <w:rFonts w:ascii="Arial" w:hAnsi="Arial" w:cs="Arial"/>
                <w:b/>
                <w:bCs/>
                <w:sz w:val="22"/>
                <w:szCs w:val="22"/>
              </w:rPr>
              <w:t>&lt;0.001</w:t>
            </w:r>
          </w:p>
        </w:tc>
      </w:tr>
      <w:tr w:rsidR="00250C37" w14:paraId="0FF89898" w14:textId="77777777" w:rsidTr="00250C37">
        <w:tc>
          <w:tcPr>
            <w:tcW w:w="1168" w:type="dxa"/>
          </w:tcPr>
          <w:p w14:paraId="54532D2F" w14:textId="740302E5" w:rsidR="00AE2E55" w:rsidRPr="00E702D1" w:rsidRDefault="00AE2E55" w:rsidP="00CB01B5">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CB01B5">
            <w:pPr>
              <w:rPr>
                <w:rFonts w:ascii="Arial" w:hAnsi="Arial" w:cs="Arial"/>
                <w:sz w:val="22"/>
                <w:szCs w:val="22"/>
              </w:rPr>
            </w:pPr>
            <w:r w:rsidRPr="00E702D1">
              <w:rPr>
                <w:rFonts w:ascii="Arial" w:hAnsi="Arial" w:cs="Arial"/>
                <w:sz w:val="22"/>
                <w:szCs w:val="22"/>
              </w:rPr>
              <w:t>0.3</w:t>
            </w:r>
          </w:p>
        </w:tc>
        <w:tc>
          <w:tcPr>
            <w:tcW w:w="1169" w:type="dxa"/>
          </w:tcPr>
          <w:p w14:paraId="7893A231" w14:textId="206BCC9D" w:rsidR="00AE2E55" w:rsidRPr="00E702D1" w:rsidRDefault="00BB680D" w:rsidP="00CB01B5">
            <w:pPr>
              <w:rPr>
                <w:rFonts w:ascii="Arial" w:hAnsi="Arial" w:cs="Arial"/>
                <w:sz w:val="22"/>
                <w:szCs w:val="22"/>
              </w:rPr>
            </w:pPr>
            <w:r>
              <w:rPr>
                <w:rFonts w:ascii="Arial" w:hAnsi="Arial" w:cs="Arial"/>
                <w:sz w:val="22"/>
                <w:szCs w:val="22"/>
              </w:rPr>
              <w:t>41</w:t>
            </w:r>
          </w:p>
        </w:tc>
        <w:tc>
          <w:tcPr>
            <w:tcW w:w="1169" w:type="dxa"/>
          </w:tcPr>
          <w:p w14:paraId="16C0408F" w14:textId="5333DCEA" w:rsidR="00AE2E55" w:rsidRPr="00E702D1" w:rsidRDefault="007916A0" w:rsidP="00CB01B5">
            <w:pPr>
              <w:rPr>
                <w:rFonts w:ascii="Arial" w:hAnsi="Arial" w:cs="Arial"/>
                <w:sz w:val="22"/>
                <w:szCs w:val="22"/>
              </w:rPr>
            </w:pPr>
            <w:r>
              <w:rPr>
                <w:rFonts w:ascii="Arial" w:hAnsi="Arial" w:cs="Arial"/>
                <w:sz w:val="22"/>
                <w:szCs w:val="22"/>
              </w:rPr>
              <w:t>0.73</w:t>
            </w:r>
          </w:p>
        </w:tc>
        <w:tc>
          <w:tcPr>
            <w:tcW w:w="1168" w:type="dxa"/>
          </w:tcPr>
          <w:p w14:paraId="07F07030" w14:textId="032B1CA2" w:rsidR="00AE2E55" w:rsidRPr="00E702D1" w:rsidRDefault="001A4EF4" w:rsidP="00CB01B5">
            <w:pPr>
              <w:rPr>
                <w:rFonts w:ascii="Arial" w:hAnsi="Arial" w:cs="Arial"/>
                <w:sz w:val="22"/>
                <w:szCs w:val="22"/>
              </w:rPr>
            </w:pPr>
            <w:r>
              <w:rPr>
                <w:rFonts w:ascii="Arial" w:hAnsi="Arial" w:cs="Arial"/>
                <w:sz w:val="22"/>
                <w:szCs w:val="22"/>
              </w:rPr>
              <w:t>326</w:t>
            </w:r>
          </w:p>
        </w:tc>
        <w:tc>
          <w:tcPr>
            <w:tcW w:w="1169" w:type="dxa"/>
          </w:tcPr>
          <w:p w14:paraId="68797E32" w14:textId="2FE85BF6" w:rsidR="00AE2E55" w:rsidRPr="00E702D1" w:rsidRDefault="008D3802" w:rsidP="00CB01B5">
            <w:pPr>
              <w:rPr>
                <w:rFonts w:ascii="Arial" w:hAnsi="Arial" w:cs="Arial"/>
                <w:sz w:val="22"/>
                <w:szCs w:val="22"/>
              </w:rPr>
            </w:pPr>
            <w:r>
              <w:rPr>
                <w:rFonts w:ascii="Arial" w:hAnsi="Arial" w:cs="Arial"/>
                <w:sz w:val="22"/>
                <w:szCs w:val="22"/>
              </w:rPr>
              <w:t>2.29</w:t>
            </w:r>
          </w:p>
        </w:tc>
        <w:tc>
          <w:tcPr>
            <w:tcW w:w="1169" w:type="dxa"/>
          </w:tcPr>
          <w:p w14:paraId="17EB329C" w14:textId="3BF4C7F6" w:rsidR="00AE2E55" w:rsidRPr="00E702D1" w:rsidRDefault="00A16818" w:rsidP="00CB01B5">
            <w:pPr>
              <w:rPr>
                <w:rFonts w:ascii="Arial" w:hAnsi="Arial" w:cs="Arial"/>
                <w:sz w:val="22"/>
                <w:szCs w:val="22"/>
              </w:rPr>
            </w:pPr>
            <w:r>
              <w:rPr>
                <w:rFonts w:ascii="Arial" w:hAnsi="Arial" w:cs="Arial"/>
                <w:sz w:val="22"/>
                <w:szCs w:val="22"/>
              </w:rPr>
              <w:t xml:space="preserve">1.45, </w:t>
            </w:r>
            <w:r w:rsidR="00D54335">
              <w:rPr>
                <w:rFonts w:ascii="Arial" w:hAnsi="Arial" w:cs="Arial"/>
                <w:sz w:val="22"/>
                <w:szCs w:val="22"/>
              </w:rPr>
              <w:t>3.15</w:t>
            </w:r>
          </w:p>
        </w:tc>
        <w:tc>
          <w:tcPr>
            <w:tcW w:w="1169" w:type="dxa"/>
          </w:tcPr>
          <w:p w14:paraId="35015A79" w14:textId="0E6B031F" w:rsidR="00AE2E55" w:rsidRPr="00E702D1" w:rsidRDefault="00815FE5" w:rsidP="00CB01B5">
            <w:pPr>
              <w:rPr>
                <w:rFonts w:ascii="Arial" w:hAnsi="Arial" w:cs="Arial"/>
                <w:b/>
                <w:bCs/>
                <w:sz w:val="22"/>
                <w:szCs w:val="22"/>
              </w:rPr>
            </w:pPr>
            <w:r w:rsidRPr="00E702D1">
              <w:rPr>
                <w:rFonts w:ascii="Arial" w:hAnsi="Arial" w:cs="Arial"/>
                <w:b/>
                <w:bCs/>
                <w:sz w:val="22"/>
                <w:szCs w:val="22"/>
              </w:rPr>
              <w:t>&lt;0.001</w:t>
            </w:r>
          </w:p>
        </w:tc>
      </w:tr>
      <w:tr w:rsidR="00250C37" w14:paraId="7EA439E6" w14:textId="77777777" w:rsidTr="00250C37">
        <w:tc>
          <w:tcPr>
            <w:tcW w:w="1168" w:type="dxa"/>
          </w:tcPr>
          <w:p w14:paraId="4F02C161" w14:textId="70D2DB0D" w:rsidR="00AE2E55" w:rsidRPr="00E702D1" w:rsidRDefault="00AE2E55" w:rsidP="00CB01B5">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7E220C40" w14:textId="582570DA" w:rsidR="00AE2E55" w:rsidRPr="00E702D1" w:rsidRDefault="00196E65" w:rsidP="00CB01B5">
            <w:pPr>
              <w:rPr>
                <w:rFonts w:ascii="Arial" w:hAnsi="Arial" w:cs="Arial"/>
                <w:sz w:val="22"/>
                <w:szCs w:val="22"/>
              </w:rPr>
            </w:pPr>
            <w:r>
              <w:rPr>
                <w:rFonts w:ascii="Arial" w:hAnsi="Arial" w:cs="Arial"/>
                <w:sz w:val="22"/>
                <w:szCs w:val="22"/>
              </w:rPr>
              <w:t>15</w:t>
            </w:r>
          </w:p>
        </w:tc>
        <w:tc>
          <w:tcPr>
            <w:tcW w:w="1169" w:type="dxa"/>
          </w:tcPr>
          <w:p w14:paraId="17975734" w14:textId="5B25A7E7" w:rsidR="00AE2E55" w:rsidRPr="00E702D1" w:rsidRDefault="003F2B34" w:rsidP="00CB01B5">
            <w:pPr>
              <w:rPr>
                <w:rFonts w:ascii="Arial" w:hAnsi="Arial" w:cs="Arial"/>
                <w:sz w:val="22"/>
                <w:szCs w:val="22"/>
              </w:rPr>
            </w:pPr>
            <w:r>
              <w:rPr>
                <w:rFonts w:ascii="Arial" w:hAnsi="Arial" w:cs="Arial"/>
                <w:sz w:val="22"/>
                <w:szCs w:val="22"/>
              </w:rPr>
              <w:t>0.29</w:t>
            </w:r>
          </w:p>
        </w:tc>
        <w:tc>
          <w:tcPr>
            <w:tcW w:w="1168" w:type="dxa"/>
          </w:tcPr>
          <w:p w14:paraId="345D7F4F" w14:textId="3173D22C" w:rsidR="00AE2E55" w:rsidRPr="00E702D1" w:rsidRDefault="003B257E" w:rsidP="00CB01B5">
            <w:pPr>
              <w:rPr>
                <w:rFonts w:ascii="Arial" w:hAnsi="Arial" w:cs="Arial"/>
                <w:sz w:val="22"/>
                <w:szCs w:val="22"/>
              </w:rPr>
            </w:pPr>
            <w:r>
              <w:rPr>
                <w:rFonts w:ascii="Arial" w:hAnsi="Arial" w:cs="Arial"/>
                <w:sz w:val="22"/>
                <w:szCs w:val="22"/>
              </w:rPr>
              <w:t>71</w:t>
            </w:r>
          </w:p>
        </w:tc>
        <w:tc>
          <w:tcPr>
            <w:tcW w:w="1169" w:type="dxa"/>
          </w:tcPr>
          <w:p w14:paraId="23F930D2" w14:textId="59C26570" w:rsidR="00AE2E55" w:rsidRPr="00E702D1" w:rsidRDefault="00266D87" w:rsidP="00CB01B5">
            <w:pPr>
              <w:rPr>
                <w:rFonts w:ascii="Arial" w:hAnsi="Arial" w:cs="Arial"/>
                <w:sz w:val="22"/>
                <w:szCs w:val="22"/>
              </w:rPr>
            </w:pPr>
            <w:r>
              <w:rPr>
                <w:rFonts w:ascii="Arial" w:hAnsi="Arial" w:cs="Arial"/>
                <w:sz w:val="22"/>
                <w:szCs w:val="22"/>
              </w:rPr>
              <w:t>3.24</w:t>
            </w:r>
          </w:p>
        </w:tc>
        <w:tc>
          <w:tcPr>
            <w:tcW w:w="1169" w:type="dxa"/>
          </w:tcPr>
          <w:p w14:paraId="29D2B458" w14:textId="1820AED2" w:rsidR="00AE2E55" w:rsidRPr="00E702D1" w:rsidRDefault="002807BC" w:rsidP="00CB01B5">
            <w:pPr>
              <w:rPr>
                <w:rFonts w:ascii="Arial" w:hAnsi="Arial" w:cs="Arial"/>
                <w:sz w:val="22"/>
                <w:szCs w:val="22"/>
              </w:rPr>
            </w:pPr>
            <w:r>
              <w:rPr>
                <w:rFonts w:ascii="Arial" w:hAnsi="Arial" w:cs="Arial"/>
                <w:sz w:val="22"/>
                <w:szCs w:val="22"/>
              </w:rPr>
              <w:t xml:space="preserve">0.85, </w:t>
            </w:r>
            <w:r w:rsidR="00DB0481">
              <w:rPr>
                <w:rFonts w:ascii="Arial" w:hAnsi="Arial" w:cs="Arial"/>
                <w:sz w:val="22"/>
                <w:szCs w:val="22"/>
              </w:rPr>
              <w:t>5.68</w:t>
            </w:r>
          </w:p>
        </w:tc>
        <w:tc>
          <w:tcPr>
            <w:tcW w:w="1169" w:type="dxa"/>
          </w:tcPr>
          <w:p w14:paraId="135D5576" w14:textId="7B93F91A" w:rsidR="00AE2E55" w:rsidRPr="00E702D1" w:rsidRDefault="004E5372" w:rsidP="00CB01B5">
            <w:pPr>
              <w:rPr>
                <w:rFonts w:ascii="Arial" w:hAnsi="Arial" w:cs="Arial"/>
                <w:sz w:val="22"/>
                <w:szCs w:val="22"/>
              </w:rPr>
            </w:pPr>
            <w:r>
              <w:rPr>
                <w:rFonts w:ascii="Arial" w:hAnsi="Arial" w:cs="Arial"/>
                <w:sz w:val="22"/>
                <w:szCs w:val="22"/>
              </w:rPr>
              <w:t>0.11</w:t>
            </w:r>
          </w:p>
        </w:tc>
      </w:tr>
      <w:tr w:rsidR="00250C37" w14:paraId="471B96AF" w14:textId="77777777" w:rsidTr="00250C37">
        <w:tc>
          <w:tcPr>
            <w:tcW w:w="1168" w:type="dxa"/>
          </w:tcPr>
          <w:p w14:paraId="7D4E28EF" w14:textId="4A49D81C" w:rsidR="00AE2E55" w:rsidRPr="00E702D1" w:rsidRDefault="00AE2E55" w:rsidP="00CB01B5">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694F3D99" w14:textId="056B7DCD" w:rsidR="00AE2E55" w:rsidRPr="00E702D1" w:rsidRDefault="006B02CD" w:rsidP="00CB01B5">
            <w:pPr>
              <w:rPr>
                <w:rFonts w:ascii="Arial" w:hAnsi="Arial" w:cs="Arial"/>
                <w:sz w:val="22"/>
                <w:szCs w:val="22"/>
              </w:rPr>
            </w:pPr>
            <w:r>
              <w:rPr>
                <w:rFonts w:ascii="Arial" w:hAnsi="Arial" w:cs="Arial"/>
                <w:sz w:val="22"/>
                <w:szCs w:val="22"/>
              </w:rPr>
              <w:t>11</w:t>
            </w:r>
          </w:p>
        </w:tc>
        <w:tc>
          <w:tcPr>
            <w:tcW w:w="1169" w:type="dxa"/>
          </w:tcPr>
          <w:p w14:paraId="25F7D2D9" w14:textId="1F84E49C" w:rsidR="00AE2E55" w:rsidRPr="00E702D1" w:rsidRDefault="00277C56" w:rsidP="00CB01B5">
            <w:pPr>
              <w:rPr>
                <w:rFonts w:ascii="Arial" w:hAnsi="Arial" w:cs="Arial"/>
                <w:sz w:val="22"/>
                <w:szCs w:val="22"/>
              </w:rPr>
            </w:pPr>
            <w:r>
              <w:rPr>
                <w:rFonts w:ascii="Arial" w:hAnsi="Arial" w:cs="Arial"/>
                <w:sz w:val="22"/>
                <w:szCs w:val="22"/>
              </w:rPr>
              <w:t>1.83</w:t>
            </w:r>
          </w:p>
        </w:tc>
        <w:tc>
          <w:tcPr>
            <w:tcW w:w="1168" w:type="dxa"/>
          </w:tcPr>
          <w:p w14:paraId="019ECFBB" w14:textId="720C70CF" w:rsidR="00AE2E55" w:rsidRPr="00E702D1" w:rsidRDefault="000F7B33" w:rsidP="00CB01B5">
            <w:pPr>
              <w:rPr>
                <w:rFonts w:ascii="Arial" w:hAnsi="Arial" w:cs="Arial"/>
                <w:sz w:val="22"/>
                <w:szCs w:val="22"/>
              </w:rPr>
            </w:pPr>
            <w:r>
              <w:rPr>
                <w:rFonts w:ascii="Arial" w:hAnsi="Arial" w:cs="Arial"/>
                <w:sz w:val="22"/>
                <w:szCs w:val="22"/>
              </w:rPr>
              <w:t>47</w:t>
            </w:r>
          </w:p>
        </w:tc>
        <w:tc>
          <w:tcPr>
            <w:tcW w:w="1169" w:type="dxa"/>
          </w:tcPr>
          <w:p w14:paraId="2F6090EC" w14:textId="14AF18DD" w:rsidR="00AE2E55" w:rsidRPr="00E702D1" w:rsidRDefault="003A247D" w:rsidP="00CB01B5">
            <w:pPr>
              <w:rPr>
                <w:rFonts w:ascii="Arial" w:hAnsi="Arial" w:cs="Arial"/>
                <w:sz w:val="22"/>
                <w:szCs w:val="22"/>
              </w:rPr>
            </w:pPr>
            <w:r>
              <w:rPr>
                <w:rFonts w:ascii="Arial" w:hAnsi="Arial" w:cs="Arial"/>
                <w:sz w:val="22"/>
                <w:szCs w:val="22"/>
              </w:rPr>
              <w:t>6.79</w:t>
            </w:r>
          </w:p>
        </w:tc>
        <w:tc>
          <w:tcPr>
            <w:tcW w:w="1169" w:type="dxa"/>
          </w:tcPr>
          <w:p w14:paraId="26A46928" w14:textId="6901754B" w:rsidR="00AE2E55" w:rsidRPr="00E702D1" w:rsidRDefault="00681847" w:rsidP="00CB01B5">
            <w:pPr>
              <w:rPr>
                <w:rFonts w:ascii="Arial" w:hAnsi="Arial" w:cs="Arial"/>
                <w:sz w:val="22"/>
                <w:szCs w:val="22"/>
              </w:rPr>
            </w:pPr>
            <w:r>
              <w:rPr>
                <w:rFonts w:ascii="Arial" w:hAnsi="Arial" w:cs="Arial"/>
                <w:sz w:val="22"/>
                <w:szCs w:val="22"/>
              </w:rPr>
              <w:t xml:space="preserve">2.68, </w:t>
            </w:r>
            <w:r w:rsidR="003C559D">
              <w:rPr>
                <w:rFonts w:ascii="Arial" w:hAnsi="Arial" w:cs="Arial"/>
                <w:sz w:val="22"/>
                <w:szCs w:val="22"/>
              </w:rPr>
              <w:t>11.08</w:t>
            </w:r>
          </w:p>
        </w:tc>
        <w:tc>
          <w:tcPr>
            <w:tcW w:w="1169" w:type="dxa"/>
          </w:tcPr>
          <w:p w14:paraId="0C62D895" w14:textId="6BFCB32F" w:rsidR="00AE2E55" w:rsidRPr="004E5372" w:rsidRDefault="004E5372" w:rsidP="00CB01B5">
            <w:pPr>
              <w:rPr>
                <w:rFonts w:ascii="Arial" w:hAnsi="Arial" w:cs="Arial"/>
                <w:b/>
                <w:bCs/>
                <w:sz w:val="22"/>
                <w:szCs w:val="22"/>
              </w:rPr>
            </w:pPr>
            <w:r w:rsidRPr="004E5372">
              <w:rPr>
                <w:rFonts w:ascii="Arial" w:hAnsi="Arial" w:cs="Arial"/>
                <w:b/>
                <w:bCs/>
                <w:sz w:val="22"/>
                <w:szCs w:val="22"/>
              </w:rPr>
              <w:t>0.005</w:t>
            </w:r>
          </w:p>
        </w:tc>
      </w:tr>
      <w:tr w:rsidR="00250C37" w14:paraId="1AEE91F1" w14:textId="77777777" w:rsidTr="00480456">
        <w:tc>
          <w:tcPr>
            <w:tcW w:w="9350" w:type="dxa"/>
            <w:gridSpan w:val="8"/>
          </w:tcPr>
          <w:p w14:paraId="59AE9DF4" w14:textId="4493FBC6" w:rsidR="00250C37" w:rsidRPr="00E702D1" w:rsidRDefault="00250C37" w:rsidP="00CB01B5">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250C37">
        <w:tc>
          <w:tcPr>
            <w:tcW w:w="1168" w:type="dxa"/>
          </w:tcPr>
          <w:p w14:paraId="4D6182D2" w14:textId="55990867" w:rsidR="00AE2E55" w:rsidRPr="00E702D1" w:rsidRDefault="00AE2E55" w:rsidP="00CB01B5">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144289D8" w14:textId="75AF4755" w:rsidR="00AE2E55" w:rsidRPr="00E702D1" w:rsidRDefault="00455689" w:rsidP="00CB01B5">
            <w:pPr>
              <w:rPr>
                <w:rFonts w:ascii="Arial" w:hAnsi="Arial" w:cs="Arial"/>
                <w:sz w:val="22"/>
                <w:szCs w:val="22"/>
              </w:rPr>
            </w:pPr>
            <w:r>
              <w:rPr>
                <w:rFonts w:ascii="Arial" w:hAnsi="Arial" w:cs="Arial"/>
                <w:sz w:val="22"/>
                <w:szCs w:val="22"/>
              </w:rPr>
              <w:t>13</w:t>
            </w:r>
          </w:p>
        </w:tc>
        <w:tc>
          <w:tcPr>
            <w:tcW w:w="1169" w:type="dxa"/>
          </w:tcPr>
          <w:p w14:paraId="4D3F245F" w14:textId="64A99DDF" w:rsidR="00AE2E55" w:rsidRPr="00E702D1" w:rsidRDefault="006E797B" w:rsidP="00CB01B5">
            <w:pPr>
              <w:rPr>
                <w:rFonts w:ascii="Arial" w:hAnsi="Arial" w:cs="Arial"/>
                <w:sz w:val="22"/>
                <w:szCs w:val="22"/>
              </w:rPr>
            </w:pPr>
            <w:r>
              <w:rPr>
                <w:rFonts w:ascii="Arial" w:hAnsi="Arial" w:cs="Arial"/>
                <w:sz w:val="22"/>
                <w:szCs w:val="22"/>
              </w:rPr>
              <w:t>0.02</w:t>
            </w:r>
          </w:p>
        </w:tc>
        <w:tc>
          <w:tcPr>
            <w:tcW w:w="1168" w:type="dxa"/>
          </w:tcPr>
          <w:p w14:paraId="5E3E5AD8" w14:textId="0B4B0446" w:rsidR="00AE2E55" w:rsidRPr="00E702D1" w:rsidRDefault="00455689" w:rsidP="00CB01B5">
            <w:pPr>
              <w:rPr>
                <w:rFonts w:ascii="Arial" w:hAnsi="Arial" w:cs="Arial"/>
                <w:sz w:val="22"/>
                <w:szCs w:val="22"/>
              </w:rPr>
            </w:pPr>
            <w:r>
              <w:rPr>
                <w:rFonts w:ascii="Arial" w:hAnsi="Arial" w:cs="Arial"/>
                <w:sz w:val="22"/>
                <w:szCs w:val="22"/>
              </w:rPr>
              <w:t>32</w:t>
            </w:r>
          </w:p>
        </w:tc>
        <w:tc>
          <w:tcPr>
            <w:tcW w:w="1169" w:type="dxa"/>
          </w:tcPr>
          <w:p w14:paraId="0A6336B8" w14:textId="14C8ECB3" w:rsidR="00AE2E55" w:rsidRPr="00E702D1" w:rsidRDefault="007E0706" w:rsidP="00CB01B5">
            <w:pPr>
              <w:rPr>
                <w:rFonts w:ascii="Arial" w:hAnsi="Arial" w:cs="Arial"/>
                <w:sz w:val="22"/>
                <w:szCs w:val="22"/>
              </w:rPr>
            </w:pPr>
            <w:r>
              <w:rPr>
                <w:rFonts w:ascii="Arial" w:hAnsi="Arial" w:cs="Arial"/>
                <w:sz w:val="22"/>
                <w:szCs w:val="22"/>
              </w:rPr>
              <w:t>&lt;0.001</w:t>
            </w:r>
          </w:p>
        </w:tc>
        <w:tc>
          <w:tcPr>
            <w:tcW w:w="1169" w:type="dxa"/>
          </w:tcPr>
          <w:p w14:paraId="1B36DB08" w14:textId="219EB43C" w:rsidR="00AE2E55" w:rsidRPr="00E702D1" w:rsidRDefault="00985F59" w:rsidP="00CB01B5">
            <w:pPr>
              <w:rPr>
                <w:rFonts w:ascii="Arial" w:hAnsi="Arial" w:cs="Arial"/>
                <w:sz w:val="22"/>
                <w:szCs w:val="22"/>
              </w:rPr>
            </w:pPr>
            <w:r>
              <w:rPr>
                <w:rFonts w:ascii="Arial" w:hAnsi="Arial" w:cs="Arial"/>
                <w:sz w:val="22"/>
                <w:szCs w:val="22"/>
              </w:rPr>
              <w:t>0, &lt;0.001</w:t>
            </w:r>
          </w:p>
        </w:tc>
        <w:tc>
          <w:tcPr>
            <w:tcW w:w="1169" w:type="dxa"/>
          </w:tcPr>
          <w:p w14:paraId="227D7F80" w14:textId="54332090" w:rsidR="00AE2E55" w:rsidRPr="00E702D1" w:rsidRDefault="00AE2E55" w:rsidP="00CB01B5">
            <w:pPr>
              <w:rPr>
                <w:rFonts w:ascii="Arial" w:hAnsi="Arial" w:cs="Arial"/>
                <w:sz w:val="22"/>
                <w:szCs w:val="22"/>
              </w:rPr>
            </w:pPr>
            <w:r w:rsidRPr="00E702D1">
              <w:rPr>
                <w:rFonts w:ascii="Arial" w:hAnsi="Arial" w:cs="Arial"/>
                <w:sz w:val="22"/>
                <w:szCs w:val="22"/>
              </w:rPr>
              <w:t>0.</w:t>
            </w:r>
            <w:r w:rsidR="00407046">
              <w:rPr>
                <w:rFonts w:ascii="Arial" w:hAnsi="Arial" w:cs="Arial"/>
                <w:sz w:val="22"/>
                <w:szCs w:val="22"/>
              </w:rPr>
              <w:t>08</w:t>
            </w:r>
          </w:p>
        </w:tc>
      </w:tr>
      <w:tr w:rsidR="00250C37" w14:paraId="000B75D8" w14:textId="77777777" w:rsidTr="00250C37">
        <w:tc>
          <w:tcPr>
            <w:tcW w:w="1168" w:type="dxa"/>
          </w:tcPr>
          <w:p w14:paraId="2F3EE80F" w14:textId="4D032577" w:rsidR="00AE2E55" w:rsidRPr="00E702D1" w:rsidRDefault="00AE2E55" w:rsidP="00CB01B5">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CB01B5">
            <w:pPr>
              <w:rPr>
                <w:rFonts w:ascii="Arial" w:hAnsi="Arial" w:cs="Arial"/>
                <w:sz w:val="22"/>
                <w:szCs w:val="22"/>
              </w:rPr>
            </w:pPr>
            <w:r w:rsidRPr="00E702D1">
              <w:rPr>
                <w:rFonts w:ascii="Arial" w:hAnsi="Arial" w:cs="Arial"/>
                <w:sz w:val="22"/>
                <w:szCs w:val="22"/>
              </w:rPr>
              <w:t>0.15</w:t>
            </w:r>
          </w:p>
        </w:tc>
        <w:tc>
          <w:tcPr>
            <w:tcW w:w="1169" w:type="dxa"/>
          </w:tcPr>
          <w:p w14:paraId="6A44EA67" w14:textId="6084141A" w:rsidR="00AE2E55" w:rsidRPr="00E702D1" w:rsidRDefault="006A3291" w:rsidP="00CB01B5">
            <w:pPr>
              <w:rPr>
                <w:rFonts w:ascii="Arial" w:hAnsi="Arial" w:cs="Arial"/>
                <w:sz w:val="22"/>
                <w:szCs w:val="22"/>
              </w:rPr>
            </w:pPr>
            <w:r>
              <w:rPr>
                <w:rFonts w:ascii="Arial" w:hAnsi="Arial" w:cs="Arial"/>
                <w:sz w:val="22"/>
                <w:szCs w:val="22"/>
              </w:rPr>
              <w:t>155</w:t>
            </w:r>
          </w:p>
        </w:tc>
        <w:tc>
          <w:tcPr>
            <w:tcW w:w="1169" w:type="dxa"/>
          </w:tcPr>
          <w:p w14:paraId="4F0D2485" w14:textId="7CE077C4" w:rsidR="00AE2E55" w:rsidRPr="00E702D1" w:rsidRDefault="006E797B" w:rsidP="00CB01B5">
            <w:pPr>
              <w:rPr>
                <w:rFonts w:ascii="Arial" w:hAnsi="Arial" w:cs="Arial"/>
                <w:sz w:val="22"/>
                <w:szCs w:val="22"/>
              </w:rPr>
            </w:pPr>
            <w:r>
              <w:rPr>
                <w:rFonts w:ascii="Arial" w:hAnsi="Arial" w:cs="Arial"/>
                <w:sz w:val="22"/>
                <w:szCs w:val="22"/>
              </w:rPr>
              <w:t>0.67</w:t>
            </w:r>
          </w:p>
        </w:tc>
        <w:tc>
          <w:tcPr>
            <w:tcW w:w="1168" w:type="dxa"/>
          </w:tcPr>
          <w:p w14:paraId="5F6A7CCA" w14:textId="40BDB94C" w:rsidR="00AE2E55" w:rsidRPr="00E702D1" w:rsidRDefault="006A3291" w:rsidP="00CB01B5">
            <w:pPr>
              <w:rPr>
                <w:rFonts w:ascii="Arial" w:hAnsi="Arial" w:cs="Arial"/>
                <w:sz w:val="22"/>
                <w:szCs w:val="22"/>
              </w:rPr>
            </w:pPr>
            <w:r>
              <w:rPr>
                <w:rFonts w:ascii="Arial" w:hAnsi="Arial" w:cs="Arial"/>
                <w:sz w:val="22"/>
                <w:szCs w:val="22"/>
              </w:rPr>
              <w:t>855</w:t>
            </w:r>
          </w:p>
        </w:tc>
        <w:tc>
          <w:tcPr>
            <w:tcW w:w="1169" w:type="dxa"/>
          </w:tcPr>
          <w:p w14:paraId="463EE11A" w14:textId="68780798" w:rsidR="00AE2E55" w:rsidRPr="00E702D1" w:rsidRDefault="00901C77" w:rsidP="00CB01B5">
            <w:pPr>
              <w:rPr>
                <w:rFonts w:ascii="Arial" w:hAnsi="Arial" w:cs="Arial"/>
                <w:sz w:val="22"/>
                <w:szCs w:val="22"/>
              </w:rPr>
            </w:pPr>
            <w:r>
              <w:rPr>
                <w:rFonts w:ascii="Arial" w:hAnsi="Arial" w:cs="Arial"/>
                <w:sz w:val="22"/>
                <w:szCs w:val="22"/>
              </w:rPr>
              <w:t>6.08</w:t>
            </w:r>
          </w:p>
        </w:tc>
        <w:tc>
          <w:tcPr>
            <w:tcW w:w="1169" w:type="dxa"/>
          </w:tcPr>
          <w:p w14:paraId="754E73AA" w14:textId="6E53434D" w:rsidR="00AE2E55" w:rsidRPr="00E702D1" w:rsidRDefault="001F58D7" w:rsidP="00CB01B5">
            <w:pPr>
              <w:rPr>
                <w:rFonts w:ascii="Arial" w:hAnsi="Arial" w:cs="Arial"/>
                <w:sz w:val="22"/>
                <w:szCs w:val="22"/>
              </w:rPr>
            </w:pPr>
            <w:r>
              <w:rPr>
                <w:rFonts w:ascii="Arial" w:hAnsi="Arial" w:cs="Arial"/>
                <w:sz w:val="22"/>
                <w:szCs w:val="22"/>
              </w:rPr>
              <w:t>5.47, 6.7</w:t>
            </w:r>
          </w:p>
        </w:tc>
        <w:tc>
          <w:tcPr>
            <w:tcW w:w="1169" w:type="dxa"/>
          </w:tcPr>
          <w:p w14:paraId="5DB83D10" w14:textId="42BDA8BE"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250C37">
        <w:tc>
          <w:tcPr>
            <w:tcW w:w="1168" w:type="dxa"/>
          </w:tcPr>
          <w:p w14:paraId="52B48994" w14:textId="0A450E53" w:rsidR="00AE2E55" w:rsidRPr="00E702D1" w:rsidRDefault="00AE2E55" w:rsidP="00CB01B5">
            <w:pPr>
              <w:rPr>
                <w:rFonts w:ascii="Arial" w:hAnsi="Arial" w:cs="Arial"/>
                <w:i/>
                <w:iCs/>
                <w:sz w:val="22"/>
                <w:szCs w:val="22"/>
              </w:rPr>
            </w:pPr>
            <w:r w:rsidRPr="00E702D1">
              <w:rPr>
                <w:rFonts w:ascii="Arial" w:hAnsi="Arial" w:cs="Arial"/>
                <w:i/>
                <w:iCs/>
                <w:sz w:val="22"/>
                <w:szCs w:val="22"/>
              </w:rPr>
              <w:t>65+</w:t>
            </w:r>
          </w:p>
        </w:tc>
        <w:tc>
          <w:tcPr>
            <w:tcW w:w="1169" w:type="dxa"/>
          </w:tcPr>
          <w:p w14:paraId="730ECFC0" w14:textId="52C730BC" w:rsidR="00AE2E55" w:rsidRPr="00E702D1" w:rsidRDefault="00AE2E55" w:rsidP="00CB01B5">
            <w:pPr>
              <w:rPr>
                <w:rFonts w:ascii="Arial" w:hAnsi="Arial" w:cs="Arial"/>
                <w:sz w:val="22"/>
                <w:szCs w:val="22"/>
              </w:rPr>
            </w:pPr>
            <w:r w:rsidRPr="00E702D1">
              <w:rPr>
                <w:rFonts w:ascii="Arial" w:hAnsi="Arial" w:cs="Arial"/>
                <w:sz w:val="22"/>
                <w:szCs w:val="22"/>
              </w:rPr>
              <w:t>2.61</w:t>
            </w:r>
          </w:p>
        </w:tc>
        <w:tc>
          <w:tcPr>
            <w:tcW w:w="1169" w:type="dxa"/>
          </w:tcPr>
          <w:p w14:paraId="1024BCBA" w14:textId="3AF50AFF" w:rsidR="00AE2E55" w:rsidRPr="00E702D1" w:rsidRDefault="00064AC2" w:rsidP="00CB01B5">
            <w:pPr>
              <w:rPr>
                <w:rFonts w:ascii="Arial" w:hAnsi="Arial" w:cs="Arial"/>
                <w:sz w:val="22"/>
                <w:szCs w:val="22"/>
              </w:rPr>
            </w:pPr>
            <w:r>
              <w:rPr>
                <w:rFonts w:ascii="Arial" w:hAnsi="Arial" w:cs="Arial"/>
                <w:sz w:val="22"/>
                <w:szCs w:val="22"/>
              </w:rPr>
              <w:t>907</w:t>
            </w:r>
          </w:p>
        </w:tc>
        <w:tc>
          <w:tcPr>
            <w:tcW w:w="1169" w:type="dxa"/>
          </w:tcPr>
          <w:p w14:paraId="1A44F030" w14:textId="72A7BBD2" w:rsidR="00AE2E55" w:rsidRPr="00E702D1" w:rsidRDefault="006D4F92" w:rsidP="00CB01B5">
            <w:pPr>
              <w:rPr>
                <w:rFonts w:ascii="Arial" w:hAnsi="Arial" w:cs="Arial"/>
                <w:sz w:val="22"/>
                <w:szCs w:val="22"/>
              </w:rPr>
            </w:pPr>
            <w:r>
              <w:rPr>
                <w:rFonts w:ascii="Arial" w:hAnsi="Arial" w:cs="Arial"/>
                <w:sz w:val="22"/>
                <w:szCs w:val="22"/>
              </w:rPr>
              <w:t>6.4</w:t>
            </w:r>
          </w:p>
        </w:tc>
        <w:tc>
          <w:tcPr>
            <w:tcW w:w="1168" w:type="dxa"/>
          </w:tcPr>
          <w:p w14:paraId="70946C6E" w14:textId="26B18FE9" w:rsidR="00AE2E55" w:rsidRPr="00E702D1" w:rsidRDefault="00FD3B14" w:rsidP="00CB01B5">
            <w:pPr>
              <w:rPr>
                <w:rFonts w:ascii="Arial" w:hAnsi="Arial" w:cs="Arial"/>
                <w:sz w:val="22"/>
                <w:szCs w:val="22"/>
              </w:rPr>
            </w:pPr>
            <w:r>
              <w:rPr>
                <w:rFonts w:ascii="Arial" w:hAnsi="Arial" w:cs="Arial"/>
                <w:sz w:val="22"/>
                <w:szCs w:val="22"/>
              </w:rPr>
              <w:t>3,789</w:t>
            </w:r>
          </w:p>
        </w:tc>
        <w:tc>
          <w:tcPr>
            <w:tcW w:w="1169" w:type="dxa"/>
          </w:tcPr>
          <w:p w14:paraId="61BF2971" w14:textId="6D00C92D" w:rsidR="00AE2E55" w:rsidRPr="00E702D1" w:rsidRDefault="00FD3430" w:rsidP="00CB01B5">
            <w:pPr>
              <w:rPr>
                <w:rFonts w:ascii="Arial" w:hAnsi="Arial" w:cs="Arial"/>
                <w:sz w:val="22"/>
                <w:szCs w:val="22"/>
              </w:rPr>
            </w:pPr>
            <w:r>
              <w:rPr>
                <w:rFonts w:ascii="Arial" w:hAnsi="Arial" w:cs="Arial"/>
                <w:sz w:val="22"/>
                <w:szCs w:val="22"/>
              </w:rPr>
              <w:t>2.9</w:t>
            </w:r>
          </w:p>
        </w:tc>
        <w:tc>
          <w:tcPr>
            <w:tcW w:w="1169" w:type="dxa"/>
          </w:tcPr>
          <w:p w14:paraId="7DA5C33E" w14:textId="6AC808CD" w:rsidR="00AE2E55" w:rsidRPr="00E702D1" w:rsidRDefault="002619D3" w:rsidP="00CB01B5">
            <w:pPr>
              <w:rPr>
                <w:rFonts w:ascii="Arial" w:hAnsi="Arial" w:cs="Arial"/>
                <w:sz w:val="22"/>
                <w:szCs w:val="22"/>
              </w:rPr>
            </w:pPr>
            <w:r>
              <w:rPr>
                <w:rFonts w:ascii="Arial" w:hAnsi="Arial" w:cs="Arial"/>
                <w:sz w:val="22"/>
                <w:szCs w:val="22"/>
              </w:rPr>
              <w:t>2.2, 3.6</w:t>
            </w:r>
          </w:p>
        </w:tc>
        <w:tc>
          <w:tcPr>
            <w:tcW w:w="1169" w:type="dxa"/>
          </w:tcPr>
          <w:p w14:paraId="5B4010A4" w14:textId="26657859"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3B705B0A" w14:textId="77777777" w:rsidTr="00F92EB0">
        <w:tc>
          <w:tcPr>
            <w:tcW w:w="9350" w:type="dxa"/>
            <w:gridSpan w:val="8"/>
          </w:tcPr>
          <w:p w14:paraId="2C225053" w14:textId="0910B7F1" w:rsidR="00250C37" w:rsidRPr="00E702D1" w:rsidRDefault="00250C37" w:rsidP="00CB01B5">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250C37">
        <w:tc>
          <w:tcPr>
            <w:tcW w:w="1168" w:type="dxa"/>
          </w:tcPr>
          <w:p w14:paraId="60617522" w14:textId="746331A4" w:rsidR="00AE2E55" w:rsidRPr="00E702D1" w:rsidRDefault="00AE2E55" w:rsidP="00CB01B5">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CB01B5">
            <w:pPr>
              <w:rPr>
                <w:rFonts w:ascii="Arial" w:hAnsi="Arial" w:cs="Arial"/>
                <w:sz w:val="22"/>
                <w:szCs w:val="22"/>
              </w:rPr>
            </w:pPr>
            <w:r w:rsidRPr="00E702D1">
              <w:rPr>
                <w:rFonts w:ascii="Arial" w:hAnsi="Arial" w:cs="Arial"/>
                <w:sz w:val="22"/>
                <w:szCs w:val="22"/>
              </w:rPr>
              <w:t>0.28</w:t>
            </w:r>
          </w:p>
        </w:tc>
        <w:tc>
          <w:tcPr>
            <w:tcW w:w="1169" w:type="dxa"/>
          </w:tcPr>
          <w:p w14:paraId="0F41C301" w14:textId="32B32C85" w:rsidR="00AE2E55" w:rsidRPr="00E702D1" w:rsidRDefault="009F6C96" w:rsidP="00CB01B5">
            <w:pPr>
              <w:rPr>
                <w:rFonts w:ascii="Arial" w:hAnsi="Arial" w:cs="Arial"/>
                <w:sz w:val="22"/>
                <w:szCs w:val="22"/>
              </w:rPr>
            </w:pPr>
            <w:r>
              <w:rPr>
                <w:rFonts w:ascii="Arial" w:hAnsi="Arial" w:cs="Arial"/>
                <w:sz w:val="22"/>
                <w:szCs w:val="22"/>
              </w:rPr>
              <w:t>595</w:t>
            </w:r>
          </w:p>
        </w:tc>
        <w:tc>
          <w:tcPr>
            <w:tcW w:w="1169" w:type="dxa"/>
          </w:tcPr>
          <w:p w14:paraId="0833D067" w14:textId="530D2DAC" w:rsidR="00AE2E55" w:rsidRPr="00E702D1" w:rsidRDefault="00634A28" w:rsidP="00CB01B5">
            <w:pPr>
              <w:rPr>
                <w:rFonts w:ascii="Arial" w:hAnsi="Arial" w:cs="Arial"/>
                <w:sz w:val="22"/>
                <w:szCs w:val="22"/>
              </w:rPr>
            </w:pPr>
            <w:r>
              <w:rPr>
                <w:rFonts w:ascii="Arial" w:hAnsi="Arial" w:cs="Arial"/>
                <w:sz w:val="22"/>
                <w:szCs w:val="22"/>
              </w:rPr>
              <w:t>0.83</w:t>
            </w:r>
          </w:p>
        </w:tc>
        <w:tc>
          <w:tcPr>
            <w:tcW w:w="1168" w:type="dxa"/>
          </w:tcPr>
          <w:p w14:paraId="4C1AB3D0" w14:textId="4ED07AA9" w:rsidR="00AE2E55" w:rsidRPr="00E702D1" w:rsidRDefault="009F6C96" w:rsidP="00CB01B5">
            <w:pPr>
              <w:rPr>
                <w:rFonts w:ascii="Arial" w:hAnsi="Arial" w:cs="Arial"/>
                <w:sz w:val="22"/>
                <w:szCs w:val="22"/>
              </w:rPr>
            </w:pPr>
            <w:r>
              <w:rPr>
                <w:rFonts w:ascii="Arial" w:hAnsi="Arial" w:cs="Arial"/>
                <w:sz w:val="22"/>
                <w:szCs w:val="22"/>
              </w:rPr>
              <w:t>2,623</w:t>
            </w:r>
          </w:p>
        </w:tc>
        <w:tc>
          <w:tcPr>
            <w:tcW w:w="1169" w:type="dxa"/>
          </w:tcPr>
          <w:p w14:paraId="46CEC03B" w14:textId="37115F77" w:rsidR="00AE2E55" w:rsidRPr="00E702D1" w:rsidRDefault="00D30454" w:rsidP="00CB01B5">
            <w:pPr>
              <w:rPr>
                <w:rFonts w:ascii="Arial" w:hAnsi="Arial" w:cs="Arial"/>
                <w:sz w:val="22"/>
                <w:szCs w:val="22"/>
              </w:rPr>
            </w:pPr>
            <w:r>
              <w:rPr>
                <w:rFonts w:ascii="Arial" w:hAnsi="Arial" w:cs="Arial"/>
                <w:sz w:val="22"/>
                <w:szCs w:val="22"/>
              </w:rPr>
              <w:t>4.04</w:t>
            </w:r>
          </w:p>
        </w:tc>
        <w:tc>
          <w:tcPr>
            <w:tcW w:w="1169" w:type="dxa"/>
          </w:tcPr>
          <w:p w14:paraId="04B175D9" w14:textId="74B9E6F1" w:rsidR="00AE2E55" w:rsidRPr="00E702D1" w:rsidRDefault="007351CE" w:rsidP="00CB01B5">
            <w:pPr>
              <w:rPr>
                <w:rFonts w:ascii="Arial" w:hAnsi="Arial" w:cs="Arial"/>
                <w:sz w:val="22"/>
                <w:szCs w:val="22"/>
              </w:rPr>
            </w:pPr>
            <w:r>
              <w:rPr>
                <w:rFonts w:ascii="Arial" w:hAnsi="Arial" w:cs="Arial"/>
                <w:sz w:val="22"/>
                <w:szCs w:val="22"/>
              </w:rPr>
              <w:t xml:space="preserve">3.03, </w:t>
            </w:r>
            <w:r w:rsidR="00CC1F9E">
              <w:rPr>
                <w:rFonts w:ascii="Arial" w:hAnsi="Arial" w:cs="Arial"/>
                <w:sz w:val="22"/>
                <w:szCs w:val="22"/>
              </w:rPr>
              <w:t>5.07</w:t>
            </w:r>
          </w:p>
        </w:tc>
        <w:tc>
          <w:tcPr>
            <w:tcW w:w="1169" w:type="dxa"/>
          </w:tcPr>
          <w:p w14:paraId="2702B437" w14:textId="46B50228"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47E5ECDB" w14:textId="77777777" w:rsidTr="00250C37">
        <w:tc>
          <w:tcPr>
            <w:tcW w:w="1168" w:type="dxa"/>
          </w:tcPr>
          <w:p w14:paraId="7C043E55" w14:textId="0CFE31DF" w:rsidR="00AE2E55" w:rsidRPr="00E702D1" w:rsidRDefault="00AE2E55" w:rsidP="00CB01B5">
            <w:pPr>
              <w:rPr>
                <w:rFonts w:ascii="Arial" w:hAnsi="Arial" w:cs="Arial"/>
                <w:i/>
                <w:iCs/>
                <w:sz w:val="22"/>
                <w:szCs w:val="22"/>
              </w:rPr>
            </w:pPr>
            <w:r w:rsidRPr="00E702D1">
              <w:rPr>
                <w:rFonts w:ascii="Arial" w:hAnsi="Arial" w:cs="Arial"/>
                <w:i/>
                <w:iCs/>
                <w:sz w:val="22"/>
                <w:szCs w:val="22"/>
              </w:rPr>
              <w:t>Peripheral Vascular Disease</w:t>
            </w:r>
          </w:p>
        </w:tc>
        <w:tc>
          <w:tcPr>
            <w:tcW w:w="1169" w:type="dxa"/>
          </w:tcPr>
          <w:p w14:paraId="49D8445B" w14:textId="1A3D97D6" w:rsidR="00AE2E55" w:rsidRPr="00E702D1" w:rsidRDefault="00EC0337" w:rsidP="00CB01B5">
            <w:pPr>
              <w:rPr>
                <w:rFonts w:ascii="Arial" w:hAnsi="Arial" w:cs="Arial"/>
                <w:sz w:val="22"/>
                <w:szCs w:val="22"/>
              </w:rPr>
            </w:pPr>
            <w:r>
              <w:rPr>
                <w:rFonts w:ascii="Arial" w:hAnsi="Arial" w:cs="Arial"/>
                <w:sz w:val="22"/>
                <w:szCs w:val="22"/>
              </w:rPr>
              <w:t>0.06</w:t>
            </w:r>
          </w:p>
        </w:tc>
        <w:tc>
          <w:tcPr>
            <w:tcW w:w="1169" w:type="dxa"/>
          </w:tcPr>
          <w:p w14:paraId="5C5EF180" w14:textId="4966433B" w:rsidR="00AE2E55" w:rsidRPr="00E702D1" w:rsidRDefault="006334EF" w:rsidP="00CB01B5">
            <w:pPr>
              <w:rPr>
                <w:rFonts w:ascii="Arial" w:hAnsi="Arial" w:cs="Arial"/>
                <w:sz w:val="22"/>
                <w:szCs w:val="22"/>
              </w:rPr>
            </w:pPr>
            <w:r>
              <w:rPr>
                <w:rFonts w:ascii="Arial" w:hAnsi="Arial" w:cs="Arial"/>
                <w:sz w:val="22"/>
                <w:szCs w:val="22"/>
              </w:rPr>
              <w:t>163</w:t>
            </w:r>
          </w:p>
        </w:tc>
        <w:tc>
          <w:tcPr>
            <w:tcW w:w="1169" w:type="dxa"/>
          </w:tcPr>
          <w:p w14:paraId="08C32C1B" w14:textId="69F9A3F4" w:rsidR="00AE2E55" w:rsidRPr="00E702D1" w:rsidRDefault="00B17BB5" w:rsidP="00CB01B5">
            <w:pPr>
              <w:rPr>
                <w:rFonts w:ascii="Arial" w:hAnsi="Arial" w:cs="Arial"/>
                <w:sz w:val="22"/>
                <w:szCs w:val="22"/>
              </w:rPr>
            </w:pPr>
            <w:r>
              <w:rPr>
                <w:rFonts w:ascii="Arial" w:hAnsi="Arial" w:cs="Arial"/>
                <w:sz w:val="22"/>
                <w:szCs w:val="22"/>
              </w:rPr>
              <w:t>0.21</w:t>
            </w:r>
          </w:p>
        </w:tc>
        <w:tc>
          <w:tcPr>
            <w:tcW w:w="1168" w:type="dxa"/>
          </w:tcPr>
          <w:p w14:paraId="066E832C" w14:textId="005C5F0F" w:rsidR="00AE2E55" w:rsidRPr="00E702D1" w:rsidRDefault="006334EF" w:rsidP="00CB01B5">
            <w:pPr>
              <w:rPr>
                <w:rFonts w:ascii="Arial" w:hAnsi="Arial" w:cs="Arial"/>
                <w:sz w:val="22"/>
                <w:szCs w:val="22"/>
              </w:rPr>
            </w:pPr>
            <w:r>
              <w:rPr>
                <w:rFonts w:ascii="Arial" w:hAnsi="Arial" w:cs="Arial"/>
                <w:sz w:val="22"/>
                <w:szCs w:val="22"/>
              </w:rPr>
              <w:t>830</w:t>
            </w:r>
          </w:p>
        </w:tc>
        <w:tc>
          <w:tcPr>
            <w:tcW w:w="1169" w:type="dxa"/>
          </w:tcPr>
          <w:p w14:paraId="427FC181" w14:textId="3566E21B" w:rsidR="00AE2E55" w:rsidRPr="00E702D1" w:rsidRDefault="007250EB" w:rsidP="00CB01B5">
            <w:pPr>
              <w:rPr>
                <w:rFonts w:ascii="Arial" w:hAnsi="Arial" w:cs="Arial"/>
                <w:sz w:val="22"/>
                <w:szCs w:val="22"/>
              </w:rPr>
            </w:pPr>
            <w:r>
              <w:rPr>
                <w:rFonts w:ascii="Arial" w:hAnsi="Arial" w:cs="Arial"/>
                <w:sz w:val="22"/>
                <w:szCs w:val="22"/>
              </w:rPr>
              <w:t>5.27</w:t>
            </w:r>
          </w:p>
        </w:tc>
        <w:tc>
          <w:tcPr>
            <w:tcW w:w="1169" w:type="dxa"/>
          </w:tcPr>
          <w:p w14:paraId="3A2F4675" w14:textId="07D56EAB" w:rsidR="00AE2E55" w:rsidRPr="00E702D1" w:rsidRDefault="007250EB" w:rsidP="00CB01B5">
            <w:pPr>
              <w:rPr>
                <w:rFonts w:ascii="Arial" w:hAnsi="Arial" w:cs="Arial"/>
                <w:sz w:val="22"/>
                <w:szCs w:val="22"/>
              </w:rPr>
            </w:pPr>
            <w:r>
              <w:rPr>
                <w:rFonts w:ascii="Arial" w:hAnsi="Arial" w:cs="Arial"/>
                <w:sz w:val="22"/>
                <w:szCs w:val="22"/>
              </w:rPr>
              <w:t xml:space="preserve">4.19, </w:t>
            </w:r>
            <w:r w:rsidR="009D0BEC">
              <w:rPr>
                <w:rFonts w:ascii="Arial" w:hAnsi="Arial" w:cs="Arial"/>
                <w:sz w:val="22"/>
                <w:szCs w:val="22"/>
              </w:rPr>
              <w:t>6.36</w:t>
            </w:r>
          </w:p>
        </w:tc>
        <w:tc>
          <w:tcPr>
            <w:tcW w:w="1169" w:type="dxa"/>
          </w:tcPr>
          <w:p w14:paraId="42AED31E" w14:textId="2920990A"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9CB4249" w14:textId="77777777" w:rsidTr="00250C37">
        <w:tc>
          <w:tcPr>
            <w:tcW w:w="1168" w:type="dxa"/>
          </w:tcPr>
          <w:p w14:paraId="5ABC67EC" w14:textId="7321A429" w:rsidR="00AE2E55" w:rsidRPr="00E702D1" w:rsidRDefault="00AE2E55" w:rsidP="00CB01B5">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CB01B5">
            <w:pPr>
              <w:rPr>
                <w:rFonts w:ascii="Arial" w:hAnsi="Arial" w:cs="Arial"/>
                <w:sz w:val="22"/>
                <w:szCs w:val="22"/>
              </w:rPr>
            </w:pPr>
            <w:r w:rsidRPr="00E702D1">
              <w:rPr>
                <w:rFonts w:ascii="Arial" w:hAnsi="Arial" w:cs="Arial"/>
                <w:sz w:val="22"/>
                <w:szCs w:val="22"/>
              </w:rPr>
              <w:t>0.02</w:t>
            </w:r>
          </w:p>
        </w:tc>
        <w:tc>
          <w:tcPr>
            <w:tcW w:w="1169" w:type="dxa"/>
          </w:tcPr>
          <w:p w14:paraId="250BB4C7" w14:textId="0CB3DD4B" w:rsidR="00AE2E55" w:rsidRPr="00E702D1" w:rsidRDefault="004042AA" w:rsidP="00CB01B5">
            <w:pPr>
              <w:rPr>
                <w:rFonts w:ascii="Arial" w:hAnsi="Arial" w:cs="Arial"/>
                <w:sz w:val="22"/>
                <w:szCs w:val="22"/>
              </w:rPr>
            </w:pPr>
            <w:r>
              <w:rPr>
                <w:rFonts w:ascii="Arial" w:hAnsi="Arial" w:cs="Arial"/>
                <w:sz w:val="22"/>
                <w:szCs w:val="22"/>
              </w:rPr>
              <w:t>47</w:t>
            </w:r>
          </w:p>
        </w:tc>
        <w:tc>
          <w:tcPr>
            <w:tcW w:w="1169" w:type="dxa"/>
          </w:tcPr>
          <w:p w14:paraId="531EEF32" w14:textId="6D15D9C7" w:rsidR="00AE2E55" w:rsidRPr="00E702D1" w:rsidRDefault="00F009EE" w:rsidP="00CB01B5">
            <w:pPr>
              <w:rPr>
                <w:rFonts w:ascii="Arial" w:hAnsi="Arial" w:cs="Arial"/>
                <w:sz w:val="22"/>
                <w:szCs w:val="22"/>
              </w:rPr>
            </w:pPr>
            <w:r>
              <w:rPr>
                <w:rFonts w:ascii="Arial" w:hAnsi="Arial" w:cs="Arial"/>
                <w:sz w:val="22"/>
                <w:szCs w:val="22"/>
              </w:rPr>
              <w:t>0.06</w:t>
            </w:r>
          </w:p>
        </w:tc>
        <w:tc>
          <w:tcPr>
            <w:tcW w:w="1168" w:type="dxa"/>
          </w:tcPr>
          <w:p w14:paraId="2EF53815" w14:textId="1B6DF9FA" w:rsidR="00AE2E55" w:rsidRPr="00E702D1" w:rsidRDefault="004042AA" w:rsidP="00CB01B5">
            <w:pPr>
              <w:rPr>
                <w:rFonts w:ascii="Arial" w:hAnsi="Arial" w:cs="Arial"/>
                <w:sz w:val="22"/>
                <w:szCs w:val="22"/>
              </w:rPr>
            </w:pPr>
            <w:r>
              <w:rPr>
                <w:rFonts w:ascii="Arial" w:hAnsi="Arial" w:cs="Arial"/>
                <w:sz w:val="22"/>
                <w:szCs w:val="22"/>
              </w:rPr>
              <w:t>222</w:t>
            </w:r>
          </w:p>
        </w:tc>
        <w:tc>
          <w:tcPr>
            <w:tcW w:w="1169" w:type="dxa"/>
          </w:tcPr>
          <w:p w14:paraId="64CB2203" w14:textId="0FAE2147" w:rsidR="00AE2E55" w:rsidRPr="00E702D1" w:rsidRDefault="003C6ACE" w:rsidP="00CB01B5">
            <w:pPr>
              <w:rPr>
                <w:rFonts w:ascii="Arial" w:hAnsi="Arial" w:cs="Arial"/>
                <w:sz w:val="22"/>
                <w:szCs w:val="22"/>
              </w:rPr>
            </w:pPr>
            <w:r>
              <w:rPr>
                <w:rFonts w:ascii="Arial" w:hAnsi="Arial" w:cs="Arial"/>
                <w:sz w:val="22"/>
                <w:szCs w:val="22"/>
              </w:rPr>
              <w:t>6.85</w:t>
            </w:r>
          </w:p>
        </w:tc>
        <w:tc>
          <w:tcPr>
            <w:tcW w:w="1169" w:type="dxa"/>
          </w:tcPr>
          <w:p w14:paraId="5FE4A68D" w14:textId="545E42DD" w:rsidR="00AE2E55" w:rsidRPr="00E702D1" w:rsidRDefault="005A59A2" w:rsidP="00CB01B5">
            <w:pPr>
              <w:rPr>
                <w:rFonts w:ascii="Arial" w:hAnsi="Arial" w:cs="Arial"/>
                <w:sz w:val="22"/>
                <w:szCs w:val="22"/>
              </w:rPr>
            </w:pPr>
            <w:r>
              <w:rPr>
                <w:rFonts w:ascii="Arial" w:hAnsi="Arial" w:cs="Arial"/>
                <w:sz w:val="22"/>
                <w:szCs w:val="22"/>
              </w:rPr>
              <w:t xml:space="preserve">5.09, </w:t>
            </w:r>
            <w:r w:rsidR="00701865">
              <w:rPr>
                <w:rFonts w:ascii="Arial" w:hAnsi="Arial" w:cs="Arial"/>
                <w:sz w:val="22"/>
                <w:szCs w:val="22"/>
              </w:rPr>
              <w:t>8.64</w:t>
            </w:r>
          </w:p>
        </w:tc>
        <w:tc>
          <w:tcPr>
            <w:tcW w:w="1169" w:type="dxa"/>
          </w:tcPr>
          <w:p w14:paraId="61D66AC7" w14:textId="629BECA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35B66B6B" w14:textId="77777777" w:rsidTr="00250C37">
        <w:tc>
          <w:tcPr>
            <w:tcW w:w="1168" w:type="dxa"/>
          </w:tcPr>
          <w:p w14:paraId="05BADD3D" w14:textId="211B9E81" w:rsidR="00AE2E55" w:rsidRPr="00E702D1" w:rsidRDefault="00AE2E55" w:rsidP="00CB01B5">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CB01B5">
            <w:pPr>
              <w:rPr>
                <w:rFonts w:ascii="Arial" w:hAnsi="Arial" w:cs="Arial"/>
                <w:sz w:val="22"/>
                <w:szCs w:val="22"/>
              </w:rPr>
            </w:pPr>
            <w:r w:rsidRPr="00E702D1">
              <w:rPr>
                <w:rFonts w:ascii="Arial" w:hAnsi="Arial" w:cs="Arial"/>
                <w:sz w:val="22"/>
                <w:szCs w:val="22"/>
              </w:rPr>
              <w:t>0.07</w:t>
            </w:r>
          </w:p>
        </w:tc>
        <w:tc>
          <w:tcPr>
            <w:tcW w:w="1169" w:type="dxa"/>
          </w:tcPr>
          <w:p w14:paraId="53CA4A0F" w14:textId="35B3CE2A" w:rsidR="00AE2E55" w:rsidRPr="00E702D1" w:rsidRDefault="00E267D9" w:rsidP="00CB01B5">
            <w:pPr>
              <w:rPr>
                <w:rFonts w:ascii="Arial" w:hAnsi="Arial" w:cs="Arial"/>
                <w:sz w:val="22"/>
                <w:szCs w:val="22"/>
              </w:rPr>
            </w:pPr>
            <w:r>
              <w:rPr>
                <w:rFonts w:ascii="Arial" w:hAnsi="Arial" w:cs="Arial"/>
                <w:sz w:val="22"/>
                <w:szCs w:val="22"/>
              </w:rPr>
              <w:t>169</w:t>
            </w:r>
          </w:p>
        </w:tc>
        <w:tc>
          <w:tcPr>
            <w:tcW w:w="1169" w:type="dxa"/>
          </w:tcPr>
          <w:p w14:paraId="0868D8AF" w14:textId="2A55D300" w:rsidR="00AE2E55" w:rsidRPr="00E702D1" w:rsidRDefault="00E438E3" w:rsidP="00CB01B5">
            <w:pPr>
              <w:rPr>
                <w:rFonts w:ascii="Arial" w:hAnsi="Arial" w:cs="Arial"/>
                <w:sz w:val="22"/>
                <w:szCs w:val="22"/>
              </w:rPr>
            </w:pPr>
            <w:r>
              <w:rPr>
                <w:rFonts w:ascii="Arial" w:hAnsi="Arial" w:cs="Arial"/>
                <w:sz w:val="22"/>
                <w:szCs w:val="22"/>
              </w:rPr>
              <w:t>0.27</w:t>
            </w:r>
          </w:p>
        </w:tc>
        <w:tc>
          <w:tcPr>
            <w:tcW w:w="1168" w:type="dxa"/>
          </w:tcPr>
          <w:p w14:paraId="005BCBC3" w14:textId="268D77A1" w:rsidR="00AE2E55" w:rsidRPr="00E702D1" w:rsidRDefault="00E267D9" w:rsidP="00CB01B5">
            <w:pPr>
              <w:rPr>
                <w:rFonts w:ascii="Arial" w:hAnsi="Arial" w:cs="Arial"/>
                <w:sz w:val="22"/>
                <w:szCs w:val="22"/>
              </w:rPr>
            </w:pPr>
            <w:r>
              <w:rPr>
                <w:rFonts w:ascii="Arial" w:hAnsi="Arial" w:cs="Arial"/>
                <w:sz w:val="22"/>
                <w:szCs w:val="22"/>
              </w:rPr>
              <w:t>942</w:t>
            </w:r>
          </w:p>
        </w:tc>
        <w:tc>
          <w:tcPr>
            <w:tcW w:w="1169" w:type="dxa"/>
          </w:tcPr>
          <w:p w14:paraId="394D5E9B" w14:textId="2EF37071" w:rsidR="00AE2E55" w:rsidRPr="00E702D1" w:rsidRDefault="008B3550" w:rsidP="00CB01B5">
            <w:pPr>
              <w:rPr>
                <w:rFonts w:ascii="Arial" w:hAnsi="Arial" w:cs="Arial"/>
                <w:sz w:val="22"/>
                <w:szCs w:val="22"/>
              </w:rPr>
            </w:pPr>
            <w:r>
              <w:rPr>
                <w:rFonts w:ascii="Arial" w:hAnsi="Arial" w:cs="Arial"/>
                <w:sz w:val="22"/>
                <w:szCs w:val="22"/>
              </w:rPr>
              <w:t>6.17</w:t>
            </w:r>
          </w:p>
        </w:tc>
        <w:tc>
          <w:tcPr>
            <w:tcW w:w="1169" w:type="dxa"/>
          </w:tcPr>
          <w:p w14:paraId="68334084" w14:textId="2F56325F" w:rsidR="00AE2E55" w:rsidRPr="00E702D1" w:rsidRDefault="008B3550" w:rsidP="00CB01B5">
            <w:pPr>
              <w:rPr>
                <w:rFonts w:ascii="Arial" w:hAnsi="Arial" w:cs="Arial"/>
                <w:sz w:val="22"/>
                <w:szCs w:val="22"/>
              </w:rPr>
            </w:pPr>
            <w:r>
              <w:rPr>
                <w:rFonts w:ascii="Arial" w:hAnsi="Arial" w:cs="Arial"/>
                <w:sz w:val="22"/>
                <w:szCs w:val="22"/>
              </w:rPr>
              <w:t>5.32, 7.04</w:t>
            </w:r>
          </w:p>
        </w:tc>
        <w:tc>
          <w:tcPr>
            <w:tcW w:w="1169" w:type="dxa"/>
          </w:tcPr>
          <w:p w14:paraId="113EEA7D" w14:textId="12D36CB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3C52DA3" w14:textId="77777777" w:rsidTr="00250C37">
        <w:tc>
          <w:tcPr>
            <w:tcW w:w="1168" w:type="dxa"/>
          </w:tcPr>
          <w:p w14:paraId="3243AF94" w14:textId="6D15D55B" w:rsidR="00AE2E55" w:rsidRPr="00E702D1" w:rsidRDefault="00AE2E55" w:rsidP="00CB01B5">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CB01B5">
            <w:pPr>
              <w:rPr>
                <w:rFonts w:ascii="Arial" w:hAnsi="Arial" w:cs="Arial"/>
                <w:sz w:val="22"/>
                <w:szCs w:val="22"/>
              </w:rPr>
            </w:pPr>
            <w:r w:rsidRPr="00E702D1">
              <w:rPr>
                <w:rFonts w:ascii="Arial" w:hAnsi="Arial" w:cs="Arial"/>
                <w:sz w:val="22"/>
                <w:szCs w:val="22"/>
              </w:rPr>
              <w:t>0.08</w:t>
            </w:r>
          </w:p>
        </w:tc>
        <w:tc>
          <w:tcPr>
            <w:tcW w:w="1169" w:type="dxa"/>
          </w:tcPr>
          <w:p w14:paraId="07864320" w14:textId="3FF4B439" w:rsidR="00AE2E55" w:rsidRPr="00E702D1" w:rsidRDefault="00785D8F" w:rsidP="00CB01B5">
            <w:pPr>
              <w:rPr>
                <w:rFonts w:ascii="Arial" w:hAnsi="Arial" w:cs="Arial"/>
                <w:sz w:val="22"/>
                <w:szCs w:val="22"/>
              </w:rPr>
            </w:pPr>
            <w:r>
              <w:rPr>
                <w:rFonts w:ascii="Arial" w:hAnsi="Arial" w:cs="Arial"/>
                <w:sz w:val="22"/>
                <w:szCs w:val="22"/>
              </w:rPr>
              <w:t>16</w:t>
            </w:r>
          </w:p>
        </w:tc>
        <w:tc>
          <w:tcPr>
            <w:tcW w:w="1169" w:type="dxa"/>
          </w:tcPr>
          <w:p w14:paraId="2944E93C" w14:textId="21AC04FC" w:rsidR="00AE2E55" w:rsidRPr="00E702D1" w:rsidRDefault="00C92DDD" w:rsidP="00CB01B5">
            <w:pPr>
              <w:rPr>
                <w:rFonts w:ascii="Arial" w:hAnsi="Arial" w:cs="Arial"/>
                <w:sz w:val="22"/>
                <w:szCs w:val="22"/>
              </w:rPr>
            </w:pPr>
            <w:r>
              <w:rPr>
                <w:rFonts w:ascii="Arial" w:hAnsi="Arial" w:cs="Arial"/>
                <w:sz w:val="22"/>
                <w:szCs w:val="22"/>
              </w:rPr>
              <w:t>0.57</w:t>
            </w:r>
          </w:p>
        </w:tc>
        <w:tc>
          <w:tcPr>
            <w:tcW w:w="1168" w:type="dxa"/>
          </w:tcPr>
          <w:p w14:paraId="33A93B79" w14:textId="0582F86C" w:rsidR="00AE2E55" w:rsidRPr="00E702D1" w:rsidRDefault="00785D8F" w:rsidP="00CB01B5">
            <w:pPr>
              <w:rPr>
                <w:rFonts w:ascii="Arial" w:hAnsi="Arial" w:cs="Arial"/>
                <w:sz w:val="22"/>
                <w:szCs w:val="22"/>
              </w:rPr>
            </w:pPr>
            <w:r>
              <w:rPr>
                <w:rFonts w:ascii="Arial" w:hAnsi="Arial" w:cs="Arial"/>
                <w:sz w:val="22"/>
                <w:szCs w:val="22"/>
              </w:rPr>
              <w:t>281</w:t>
            </w:r>
          </w:p>
        </w:tc>
        <w:tc>
          <w:tcPr>
            <w:tcW w:w="1169" w:type="dxa"/>
          </w:tcPr>
          <w:p w14:paraId="53B46316" w14:textId="2C6D73FE" w:rsidR="00AE2E55" w:rsidRPr="00E702D1" w:rsidRDefault="00667E5C" w:rsidP="00CB01B5">
            <w:pPr>
              <w:rPr>
                <w:rFonts w:ascii="Arial" w:hAnsi="Arial" w:cs="Arial"/>
                <w:sz w:val="22"/>
                <w:szCs w:val="22"/>
              </w:rPr>
            </w:pPr>
            <w:r>
              <w:rPr>
                <w:rFonts w:ascii="Arial" w:hAnsi="Arial" w:cs="Arial"/>
                <w:sz w:val="22"/>
                <w:szCs w:val="22"/>
              </w:rPr>
              <w:t>6.99</w:t>
            </w:r>
          </w:p>
        </w:tc>
        <w:tc>
          <w:tcPr>
            <w:tcW w:w="1169" w:type="dxa"/>
          </w:tcPr>
          <w:p w14:paraId="4A4A16FD" w14:textId="61307809" w:rsidR="00AE2E55" w:rsidRPr="00E702D1" w:rsidRDefault="00A6032C" w:rsidP="00CB01B5">
            <w:pPr>
              <w:rPr>
                <w:rFonts w:ascii="Arial" w:hAnsi="Arial" w:cs="Arial"/>
                <w:sz w:val="22"/>
                <w:szCs w:val="22"/>
              </w:rPr>
            </w:pPr>
            <w:r>
              <w:rPr>
                <w:rFonts w:ascii="Arial" w:hAnsi="Arial" w:cs="Arial"/>
                <w:sz w:val="22"/>
                <w:szCs w:val="22"/>
              </w:rPr>
              <w:t xml:space="preserve">6.12, </w:t>
            </w:r>
            <w:r w:rsidR="00004B90">
              <w:rPr>
                <w:rFonts w:ascii="Arial" w:hAnsi="Arial" w:cs="Arial"/>
                <w:sz w:val="22"/>
                <w:szCs w:val="22"/>
              </w:rPr>
              <w:t>7.87</w:t>
            </w:r>
          </w:p>
        </w:tc>
        <w:tc>
          <w:tcPr>
            <w:tcW w:w="1169" w:type="dxa"/>
          </w:tcPr>
          <w:p w14:paraId="1760B324" w14:textId="53FF3180"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rillo Larco, Rodrigo Martin" w:date="2025-07-17T10:45:00Z" w:initials="RC">
    <w:p w14:paraId="7746AC2F" w14:textId="77777777" w:rsidR="00D42EB0" w:rsidRDefault="00D42EB0" w:rsidP="00D42EB0">
      <w:pPr>
        <w:pStyle w:val="CommentText"/>
      </w:pPr>
      <w:r>
        <w:rPr>
          <w:rStyle w:val="CommentReference"/>
        </w:rPr>
        <w:annotationRef/>
      </w:r>
      <w:r>
        <w:t>Would it be better to add some numbers? What about something like this, just a suggestion:</w:t>
      </w:r>
    </w:p>
    <w:p w14:paraId="6D48895F" w14:textId="77777777" w:rsidR="00D42EB0" w:rsidRDefault="00D42EB0" w:rsidP="00D42EB0">
      <w:pPr>
        <w:pStyle w:val="CommentText"/>
      </w:pPr>
    </w:p>
    <w:p w14:paraId="501BE39F" w14:textId="77777777" w:rsidR="00D42EB0" w:rsidRDefault="00D42EB0" w:rsidP="00D42EB0">
      <w:pPr>
        <w:pStyle w:val="CommentText"/>
      </w:pPr>
      <w:r>
        <w:rPr>
          <w:i/>
          <w:iCs/>
        </w:rPr>
        <w:t xml:space="preserve">Osteomyelitis-related mortality in the United States increased from 1999 to 20203 (Annual Percent Change, APC: 3.54%); men (APC: 3.92%), Non-Hispanic White (APC: 4.01%), and vertebral osteomyelitis (APC: 6.99%) showing greater increases. </w:t>
      </w:r>
      <w:r>
        <w:t>[I think still the same number of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1BE3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429DD0" w16cex:dateUtc="2025-07-17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1BE39F" w16cid:durableId="04429D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rillo Larco, Rodrigo Martin">
    <w15:presenceInfo w15:providerId="AD" w15:userId="S::RMCARRI@emory.edu::ce89ccb3-29b0-4bcc-b916-f3656cb0b2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03581"/>
    <w:rsid w:val="00003788"/>
    <w:rsid w:val="00004B90"/>
    <w:rsid w:val="00004DB7"/>
    <w:rsid w:val="00005999"/>
    <w:rsid w:val="0001183B"/>
    <w:rsid w:val="00012559"/>
    <w:rsid w:val="00017B09"/>
    <w:rsid w:val="00030550"/>
    <w:rsid w:val="0003482C"/>
    <w:rsid w:val="00037086"/>
    <w:rsid w:val="00037154"/>
    <w:rsid w:val="000407D4"/>
    <w:rsid w:val="0004305F"/>
    <w:rsid w:val="00043363"/>
    <w:rsid w:val="00043E3F"/>
    <w:rsid w:val="00052CDB"/>
    <w:rsid w:val="00057004"/>
    <w:rsid w:val="00060231"/>
    <w:rsid w:val="00064AC2"/>
    <w:rsid w:val="00065469"/>
    <w:rsid w:val="000713FC"/>
    <w:rsid w:val="00081F39"/>
    <w:rsid w:val="000853F3"/>
    <w:rsid w:val="0008611B"/>
    <w:rsid w:val="0009075C"/>
    <w:rsid w:val="00090D42"/>
    <w:rsid w:val="000938C1"/>
    <w:rsid w:val="000A0753"/>
    <w:rsid w:val="000A0DDE"/>
    <w:rsid w:val="000A0E77"/>
    <w:rsid w:val="000A1602"/>
    <w:rsid w:val="000B3323"/>
    <w:rsid w:val="000B70A0"/>
    <w:rsid w:val="000C4944"/>
    <w:rsid w:val="000C70B6"/>
    <w:rsid w:val="000D230D"/>
    <w:rsid w:val="000E0326"/>
    <w:rsid w:val="000E71CE"/>
    <w:rsid w:val="000F24CD"/>
    <w:rsid w:val="000F3C6E"/>
    <w:rsid w:val="000F684D"/>
    <w:rsid w:val="000F7200"/>
    <w:rsid w:val="000F7B33"/>
    <w:rsid w:val="00105897"/>
    <w:rsid w:val="00107E70"/>
    <w:rsid w:val="00115D45"/>
    <w:rsid w:val="00116CED"/>
    <w:rsid w:val="00122143"/>
    <w:rsid w:val="00126E33"/>
    <w:rsid w:val="00127138"/>
    <w:rsid w:val="00130821"/>
    <w:rsid w:val="0013524C"/>
    <w:rsid w:val="001367CA"/>
    <w:rsid w:val="00141151"/>
    <w:rsid w:val="00141306"/>
    <w:rsid w:val="0014167D"/>
    <w:rsid w:val="00150350"/>
    <w:rsid w:val="001517B1"/>
    <w:rsid w:val="00151D82"/>
    <w:rsid w:val="001536D8"/>
    <w:rsid w:val="001540F8"/>
    <w:rsid w:val="001549D8"/>
    <w:rsid w:val="00156CCE"/>
    <w:rsid w:val="00166220"/>
    <w:rsid w:val="00167DA3"/>
    <w:rsid w:val="00170E73"/>
    <w:rsid w:val="001716DC"/>
    <w:rsid w:val="00171F58"/>
    <w:rsid w:val="0017474C"/>
    <w:rsid w:val="0017492D"/>
    <w:rsid w:val="00175D8B"/>
    <w:rsid w:val="00185440"/>
    <w:rsid w:val="001863F9"/>
    <w:rsid w:val="001872F9"/>
    <w:rsid w:val="00190F9C"/>
    <w:rsid w:val="001917AF"/>
    <w:rsid w:val="00196464"/>
    <w:rsid w:val="00196E65"/>
    <w:rsid w:val="001A1A32"/>
    <w:rsid w:val="001A1A6E"/>
    <w:rsid w:val="001A2A11"/>
    <w:rsid w:val="001A4EF4"/>
    <w:rsid w:val="001A7C50"/>
    <w:rsid w:val="001C3823"/>
    <w:rsid w:val="001C524A"/>
    <w:rsid w:val="001E0E37"/>
    <w:rsid w:val="001E1E02"/>
    <w:rsid w:val="001E2913"/>
    <w:rsid w:val="001E4A2D"/>
    <w:rsid w:val="001F01CD"/>
    <w:rsid w:val="001F0860"/>
    <w:rsid w:val="001F3A48"/>
    <w:rsid w:val="001F58D7"/>
    <w:rsid w:val="001F7439"/>
    <w:rsid w:val="0020179F"/>
    <w:rsid w:val="00211886"/>
    <w:rsid w:val="002358BD"/>
    <w:rsid w:val="00245F9B"/>
    <w:rsid w:val="00250C37"/>
    <w:rsid w:val="00254AC4"/>
    <w:rsid w:val="00254BA7"/>
    <w:rsid w:val="0026049F"/>
    <w:rsid w:val="0026099C"/>
    <w:rsid w:val="00260EBD"/>
    <w:rsid w:val="002619D3"/>
    <w:rsid w:val="0026570B"/>
    <w:rsid w:val="00266D87"/>
    <w:rsid w:val="00267CF7"/>
    <w:rsid w:val="00270207"/>
    <w:rsid w:val="00270591"/>
    <w:rsid w:val="00270F5A"/>
    <w:rsid w:val="00277C56"/>
    <w:rsid w:val="00277EBC"/>
    <w:rsid w:val="002807BC"/>
    <w:rsid w:val="00287EE0"/>
    <w:rsid w:val="00291BC2"/>
    <w:rsid w:val="00295AEB"/>
    <w:rsid w:val="00296876"/>
    <w:rsid w:val="002A1E45"/>
    <w:rsid w:val="002A589A"/>
    <w:rsid w:val="002A617F"/>
    <w:rsid w:val="002A7DE2"/>
    <w:rsid w:val="002B1A11"/>
    <w:rsid w:val="002C5BD9"/>
    <w:rsid w:val="002E1B00"/>
    <w:rsid w:val="002E2695"/>
    <w:rsid w:val="002E4807"/>
    <w:rsid w:val="002E5058"/>
    <w:rsid w:val="002E630D"/>
    <w:rsid w:val="002F060F"/>
    <w:rsid w:val="0030239F"/>
    <w:rsid w:val="003032F3"/>
    <w:rsid w:val="003059F8"/>
    <w:rsid w:val="003064AC"/>
    <w:rsid w:val="0031027F"/>
    <w:rsid w:val="00313D52"/>
    <w:rsid w:val="00314DA8"/>
    <w:rsid w:val="00327296"/>
    <w:rsid w:val="00335B6B"/>
    <w:rsid w:val="003372E3"/>
    <w:rsid w:val="00341EA5"/>
    <w:rsid w:val="00343B6A"/>
    <w:rsid w:val="00351AC6"/>
    <w:rsid w:val="00366196"/>
    <w:rsid w:val="00370E21"/>
    <w:rsid w:val="003800C1"/>
    <w:rsid w:val="00384034"/>
    <w:rsid w:val="0038435A"/>
    <w:rsid w:val="0038523F"/>
    <w:rsid w:val="003946C8"/>
    <w:rsid w:val="003966BA"/>
    <w:rsid w:val="003A247D"/>
    <w:rsid w:val="003A3EC6"/>
    <w:rsid w:val="003A7DB0"/>
    <w:rsid w:val="003A7F02"/>
    <w:rsid w:val="003B127F"/>
    <w:rsid w:val="003B257E"/>
    <w:rsid w:val="003B2787"/>
    <w:rsid w:val="003B2AC7"/>
    <w:rsid w:val="003B45CF"/>
    <w:rsid w:val="003B619A"/>
    <w:rsid w:val="003C559D"/>
    <w:rsid w:val="003C5DF9"/>
    <w:rsid w:val="003C6ACE"/>
    <w:rsid w:val="003D39F1"/>
    <w:rsid w:val="003D3B8A"/>
    <w:rsid w:val="003D428B"/>
    <w:rsid w:val="003D49D3"/>
    <w:rsid w:val="003D5A07"/>
    <w:rsid w:val="003E1F2C"/>
    <w:rsid w:val="003E3600"/>
    <w:rsid w:val="003F2B34"/>
    <w:rsid w:val="003F5BA9"/>
    <w:rsid w:val="0040343C"/>
    <w:rsid w:val="004042AA"/>
    <w:rsid w:val="00407046"/>
    <w:rsid w:val="00411782"/>
    <w:rsid w:val="004155EC"/>
    <w:rsid w:val="00416561"/>
    <w:rsid w:val="00416846"/>
    <w:rsid w:val="00430A48"/>
    <w:rsid w:val="00433C8A"/>
    <w:rsid w:val="0043559B"/>
    <w:rsid w:val="00435A70"/>
    <w:rsid w:val="00437408"/>
    <w:rsid w:val="0044076F"/>
    <w:rsid w:val="00443498"/>
    <w:rsid w:val="00444245"/>
    <w:rsid w:val="0044508D"/>
    <w:rsid w:val="00445FA3"/>
    <w:rsid w:val="00446B39"/>
    <w:rsid w:val="00455689"/>
    <w:rsid w:val="00455D0B"/>
    <w:rsid w:val="00457F04"/>
    <w:rsid w:val="00461BBA"/>
    <w:rsid w:val="004660CE"/>
    <w:rsid w:val="00472EB3"/>
    <w:rsid w:val="00473673"/>
    <w:rsid w:val="00474BDA"/>
    <w:rsid w:val="004760D8"/>
    <w:rsid w:val="0048038F"/>
    <w:rsid w:val="004956DC"/>
    <w:rsid w:val="00497E42"/>
    <w:rsid w:val="004A299E"/>
    <w:rsid w:val="004A436F"/>
    <w:rsid w:val="004A74CA"/>
    <w:rsid w:val="004B1936"/>
    <w:rsid w:val="004B437A"/>
    <w:rsid w:val="004E25E5"/>
    <w:rsid w:val="004E5372"/>
    <w:rsid w:val="004F2038"/>
    <w:rsid w:val="004F3568"/>
    <w:rsid w:val="0050056B"/>
    <w:rsid w:val="0050358D"/>
    <w:rsid w:val="0051203D"/>
    <w:rsid w:val="005166F1"/>
    <w:rsid w:val="00522C37"/>
    <w:rsid w:val="005301C7"/>
    <w:rsid w:val="005357D3"/>
    <w:rsid w:val="00536884"/>
    <w:rsid w:val="00537D89"/>
    <w:rsid w:val="005403BF"/>
    <w:rsid w:val="00541988"/>
    <w:rsid w:val="00546BEB"/>
    <w:rsid w:val="0055342C"/>
    <w:rsid w:val="005578FA"/>
    <w:rsid w:val="005640BC"/>
    <w:rsid w:val="00564DF8"/>
    <w:rsid w:val="00567225"/>
    <w:rsid w:val="00567C8F"/>
    <w:rsid w:val="00575055"/>
    <w:rsid w:val="00577B3D"/>
    <w:rsid w:val="00582DA1"/>
    <w:rsid w:val="005849BD"/>
    <w:rsid w:val="00585AE7"/>
    <w:rsid w:val="005915E7"/>
    <w:rsid w:val="005924A9"/>
    <w:rsid w:val="005A3AC6"/>
    <w:rsid w:val="005A4A96"/>
    <w:rsid w:val="005A5435"/>
    <w:rsid w:val="005A59A2"/>
    <w:rsid w:val="005B39E5"/>
    <w:rsid w:val="005B4BA7"/>
    <w:rsid w:val="005B53E5"/>
    <w:rsid w:val="005B6B20"/>
    <w:rsid w:val="005B7B63"/>
    <w:rsid w:val="005C5587"/>
    <w:rsid w:val="005D76B7"/>
    <w:rsid w:val="005E5D8E"/>
    <w:rsid w:val="005E6A1F"/>
    <w:rsid w:val="005F3EE9"/>
    <w:rsid w:val="00602B37"/>
    <w:rsid w:val="00613F8F"/>
    <w:rsid w:val="006226A0"/>
    <w:rsid w:val="00632A53"/>
    <w:rsid w:val="006334EF"/>
    <w:rsid w:val="0063431D"/>
    <w:rsid w:val="00634A28"/>
    <w:rsid w:val="00637FA6"/>
    <w:rsid w:val="0064174C"/>
    <w:rsid w:val="00641E4C"/>
    <w:rsid w:val="00642B3D"/>
    <w:rsid w:val="006431D0"/>
    <w:rsid w:val="006436C5"/>
    <w:rsid w:val="00644F8B"/>
    <w:rsid w:val="00650FAF"/>
    <w:rsid w:val="00657A4E"/>
    <w:rsid w:val="00666B1E"/>
    <w:rsid w:val="00667E5C"/>
    <w:rsid w:val="00675B53"/>
    <w:rsid w:val="00681847"/>
    <w:rsid w:val="006842B9"/>
    <w:rsid w:val="0068545D"/>
    <w:rsid w:val="0069346E"/>
    <w:rsid w:val="00696B92"/>
    <w:rsid w:val="006A286E"/>
    <w:rsid w:val="006A3291"/>
    <w:rsid w:val="006A5B7C"/>
    <w:rsid w:val="006A6D94"/>
    <w:rsid w:val="006B02CD"/>
    <w:rsid w:val="006B1F72"/>
    <w:rsid w:val="006C2C27"/>
    <w:rsid w:val="006C3C16"/>
    <w:rsid w:val="006D11EE"/>
    <w:rsid w:val="006D4F92"/>
    <w:rsid w:val="006E30B9"/>
    <w:rsid w:val="006E797B"/>
    <w:rsid w:val="006F157E"/>
    <w:rsid w:val="00701865"/>
    <w:rsid w:val="007223F7"/>
    <w:rsid w:val="007250EB"/>
    <w:rsid w:val="0072586B"/>
    <w:rsid w:val="00730B32"/>
    <w:rsid w:val="00734807"/>
    <w:rsid w:val="007351CE"/>
    <w:rsid w:val="007379A0"/>
    <w:rsid w:val="00742BAA"/>
    <w:rsid w:val="007477BB"/>
    <w:rsid w:val="00750F65"/>
    <w:rsid w:val="007549DC"/>
    <w:rsid w:val="0076282A"/>
    <w:rsid w:val="00785D8F"/>
    <w:rsid w:val="00786747"/>
    <w:rsid w:val="007916A0"/>
    <w:rsid w:val="00794638"/>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802C1B"/>
    <w:rsid w:val="00803EDD"/>
    <w:rsid w:val="008063FD"/>
    <w:rsid w:val="008069BA"/>
    <w:rsid w:val="008077A1"/>
    <w:rsid w:val="00815FE5"/>
    <w:rsid w:val="00816215"/>
    <w:rsid w:val="00820D2C"/>
    <w:rsid w:val="00821864"/>
    <w:rsid w:val="0082245D"/>
    <w:rsid w:val="008317F2"/>
    <w:rsid w:val="00831D00"/>
    <w:rsid w:val="00840D7F"/>
    <w:rsid w:val="00841C39"/>
    <w:rsid w:val="00843A3C"/>
    <w:rsid w:val="008513CB"/>
    <w:rsid w:val="00852ACF"/>
    <w:rsid w:val="00861D11"/>
    <w:rsid w:val="008624BB"/>
    <w:rsid w:val="00864B47"/>
    <w:rsid w:val="00874EAD"/>
    <w:rsid w:val="00881CEC"/>
    <w:rsid w:val="008B18B5"/>
    <w:rsid w:val="008B3550"/>
    <w:rsid w:val="008D1DEC"/>
    <w:rsid w:val="008D1F8C"/>
    <w:rsid w:val="008D3802"/>
    <w:rsid w:val="008D549E"/>
    <w:rsid w:val="008E0C15"/>
    <w:rsid w:val="008E59C1"/>
    <w:rsid w:val="008F2FCF"/>
    <w:rsid w:val="008F411A"/>
    <w:rsid w:val="008F585A"/>
    <w:rsid w:val="008F5E67"/>
    <w:rsid w:val="008F63AA"/>
    <w:rsid w:val="00901C77"/>
    <w:rsid w:val="009036A1"/>
    <w:rsid w:val="00911A05"/>
    <w:rsid w:val="00915C3E"/>
    <w:rsid w:val="00917C27"/>
    <w:rsid w:val="00920A50"/>
    <w:rsid w:val="00941A29"/>
    <w:rsid w:val="00947690"/>
    <w:rsid w:val="00953295"/>
    <w:rsid w:val="00954280"/>
    <w:rsid w:val="00961063"/>
    <w:rsid w:val="00961141"/>
    <w:rsid w:val="00964B02"/>
    <w:rsid w:val="00972398"/>
    <w:rsid w:val="009763E9"/>
    <w:rsid w:val="0098392E"/>
    <w:rsid w:val="00985F59"/>
    <w:rsid w:val="009905C2"/>
    <w:rsid w:val="00992F94"/>
    <w:rsid w:val="009966DD"/>
    <w:rsid w:val="009A1C6D"/>
    <w:rsid w:val="009A4986"/>
    <w:rsid w:val="009B3AC7"/>
    <w:rsid w:val="009B3D8B"/>
    <w:rsid w:val="009B4786"/>
    <w:rsid w:val="009B4B1E"/>
    <w:rsid w:val="009C0FA6"/>
    <w:rsid w:val="009C4BAE"/>
    <w:rsid w:val="009C560C"/>
    <w:rsid w:val="009C6238"/>
    <w:rsid w:val="009C6734"/>
    <w:rsid w:val="009D0BEC"/>
    <w:rsid w:val="009D1612"/>
    <w:rsid w:val="009D1A4D"/>
    <w:rsid w:val="009D5C2C"/>
    <w:rsid w:val="009D7706"/>
    <w:rsid w:val="009E4001"/>
    <w:rsid w:val="009F6C96"/>
    <w:rsid w:val="009F77F4"/>
    <w:rsid w:val="00A02C43"/>
    <w:rsid w:val="00A03763"/>
    <w:rsid w:val="00A10DF2"/>
    <w:rsid w:val="00A12A7C"/>
    <w:rsid w:val="00A12B2F"/>
    <w:rsid w:val="00A16818"/>
    <w:rsid w:val="00A16D8D"/>
    <w:rsid w:val="00A30D92"/>
    <w:rsid w:val="00A3253E"/>
    <w:rsid w:val="00A33459"/>
    <w:rsid w:val="00A44C09"/>
    <w:rsid w:val="00A45DA9"/>
    <w:rsid w:val="00A53DE7"/>
    <w:rsid w:val="00A6032C"/>
    <w:rsid w:val="00A6434F"/>
    <w:rsid w:val="00A67105"/>
    <w:rsid w:val="00A701C1"/>
    <w:rsid w:val="00A71685"/>
    <w:rsid w:val="00A71828"/>
    <w:rsid w:val="00A72867"/>
    <w:rsid w:val="00A77C0E"/>
    <w:rsid w:val="00A77F72"/>
    <w:rsid w:val="00A87F1B"/>
    <w:rsid w:val="00AA06B9"/>
    <w:rsid w:val="00AA41E0"/>
    <w:rsid w:val="00AB0442"/>
    <w:rsid w:val="00AC0EB7"/>
    <w:rsid w:val="00AC117B"/>
    <w:rsid w:val="00AC3AE2"/>
    <w:rsid w:val="00AE2E55"/>
    <w:rsid w:val="00AE56F7"/>
    <w:rsid w:val="00AF2FD1"/>
    <w:rsid w:val="00AF4602"/>
    <w:rsid w:val="00AF61AA"/>
    <w:rsid w:val="00AF7928"/>
    <w:rsid w:val="00B06E59"/>
    <w:rsid w:val="00B12301"/>
    <w:rsid w:val="00B12BD9"/>
    <w:rsid w:val="00B17BB5"/>
    <w:rsid w:val="00B31113"/>
    <w:rsid w:val="00B31636"/>
    <w:rsid w:val="00B3348D"/>
    <w:rsid w:val="00B3539B"/>
    <w:rsid w:val="00B366D2"/>
    <w:rsid w:val="00B36ECB"/>
    <w:rsid w:val="00B5164B"/>
    <w:rsid w:val="00B532EA"/>
    <w:rsid w:val="00B57C47"/>
    <w:rsid w:val="00B62BCA"/>
    <w:rsid w:val="00B6340B"/>
    <w:rsid w:val="00B7220E"/>
    <w:rsid w:val="00B72784"/>
    <w:rsid w:val="00B82FD3"/>
    <w:rsid w:val="00B9359C"/>
    <w:rsid w:val="00BA0111"/>
    <w:rsid w:val="00BA2191"/>
    <w:rsid w:val="00BA2C89"/>
    <w:rsid w:val="00BA3707"/>
    <w:rsid w:val="00BB2921"/>
    <w:rsid w:val="00BB5719"/>
    <w:rsid w:val="00BB680D"/>
    <w:rsid w:val="00BC179B"/>
    <w:rsid w:val="00BC27B6"/>
    <w:rsid w:val="00BC4CE2"/>
    <w:rsid w:val="00BC6EBE"/>
    <w:rsid w:val="00BD505B"/>
    <w:rsid w:val="00BD5821"/>
    <w:rsid w:val="00BE1162"/>
    <w:rsid w:val="00BE3369"/>
    <w:rsid w:val="00BF3D2C"/>
    <w:rsid w:val="00BF414C"/>
    <w:rsid w:val="00BF5CBC"/>
    <w:rsid w:val="00BF5FF3"/>
    <w:rsid w:val="00C01546"/>
    <w:rsid w:val="00C058E7"/>
    <w:rsid w:val="00C06D86"/>
    <w:rsid w:val="00C1294A"/>
    <w:rsid w:val="00C17B85"/>
    <w:rsid w:val="00C20096"/>
    <w:rsid w:val="00C22C0D"/>
    <w:rsid w:val="00C24567"/>
    <w:rsid w:val="00C40AB3"/>
    <w:rsid w:val="00C4289E"/>
    <w:rsid w:val="00C435F2"/>
    <w:rsid w:val="00C439D1"/>
    <w:rsid w:val="00C54073"/>
    <w:rsid w:val="00C57BB6"/>
    <w:rsid w:val="00C619B0"/>
    <w:rsid w:val="00C6258D"/>
    <w:rsid w:val="00C67588"/>
    <w:rsid w:val="00C738CB"/>
    <w:rsid w:val="00C73AD7"/>
    <w:rsid w:val="00C80C96"/>
    <w:rsid w:val="00C92DDD"/>
    <w:rsid w:val="00C945E8"/>
    <w:rsid w:val="00CA007F"/>
    <w:rsid w:val="00CA057A"/>
    <w:rsid w:val="00CA0BBD"/>
    <w:rsid w:val="00CA6788"/>
    <w:rsid w:val="00CB01B5"/>
    <w:rsid w:val="00CB1633"/>
    <w:rsid w:val="00CB5224"/>
    <w:rsid w:val="00CC1F9E"/>
    <w:rsid w:val="00CC3B0A"/>
    <w:rsid w:val="00CC5C1F"/>
    <w:rsid w:val="00CD2740"/>
    <w:rsid w:val="00CD61B2"/>
    <w:rsid w:val="00CE57E1"/>
    <w:rsid w:val="00CE6F37"/>
    <w:rsid w:val="00CF0778"/>
    <w:rsid w:val="00CF1B1A"/>
    <w:rsid w:val="00CF3DF2"/>
    <w:rsid w:val="00CF63F4"/>
    <w:rsid w:val="00D05813"/>
    <w:rsid w:val="00D1590E"/>
    <w:rsid w:val="00D15C26"/>
    <w:rsid w:val="00D15E8D"/>
    <w:rsid w:val="00D20F90"/>
    <w:rsid w:val="00D26DA5"/>
    <w:rsid w:val="00D30454"/>
    <w:rsid w:val="00D32A2D"/>
    <w:rsid w:val="00D3576A"/>
    <w:rsid w:val="00D42EB0"/>
    <w:rsid w:val="00D44C89"/>
    <w:rsid w:val="00D45999"/>
    <w:rsid w:val="00D54335"/>
    <w:rsid w:val="00D57FB9"/>
    <w:rsid w:val="00D60CFC"/>
    <w:rsid w:val="00D65E88"/>
    <w:rsid w:val="00D70E13"/>
    <w:rsid w:val="00D762A0"/>
    <w:rsid w:val="00D84F86"/>
    <w:rsid w:val="00D860D1"/>
    <w:rsid w:val="00D917FB"/>
    <w:rsid w:val="00D92973"/>
    <w:rsid w:val="00D93572"/>
    <w:rsid w:val="00D969AF"/>
    <w:rsid w:val="00DA2CE3"/>
    <w:rsid w:val="00DA4EEC"/>
    <w:rsid w:val="00DA7105"/>
    <w:rsid w:val="00DB0481"/>
    <w:rsid w:val="00DB4218"/>
    <w:rsid w:val="00DD3328"/>
    <w:rsid w:val="00DD3AC4"/>
    <w:rsid w:val="00DE3192"/>
    <w:rsid w:val="00DE5CE2"/>
    <w:rsid w:val="00DE6041"/>
    <w:rsid w:val="00DE6EFD"/>
    <w:rsid w:val="00DF1E02"/>
    <w:rsid w:val="00DF37BC"/>
    <w:rsid w:val="00DF3FF2"/>
    <w:rsid w:val="00DF51C8"/>
    <w:rsid w:val="00DF6C0C"/>
    <w:rsid w:val="00E01FF8"/>
    <w:rsid w:val="00E02FAF"/>
    <w:rsid w:val="00E03D48"/>
    <w:rsid w:val="00E16A93"/>
    <w:rsid w:val="00E248A5"/>
    <w:rsid w:val="00E26258"/>
    <w:rsid w:val="00E267D9"/>
    <w:rsid w:val="00E26ADA"/>
    <w:rsid w:val="00E42620"/>
    <w:rsid w:val="00E438E3"/>
    <w:rsid w:val="00E46390"/>
    <w:rsid w:val="00E474B4"/>
    <w:rsid w:val="00E571AF"/>
    <w:rsid w:val="00E6461B"/>
    <w:rsid w:val="00E702D1"/>
    <w:rsid w:val="00E861C8"/>
    <w:rsid w:val="00E90026"/>
    <w:rsid w:val="00E90E2F"/>
    <w:rsid w:val="00EA02EA"/>
    <w:rsid w:val="00EA0318"/>
    <w:rsid w:val="00EA439C"/>
    <w:rsid w:val="00EB348D"/>
    <w:rsid w:val="00EC0337"/>
    <w:rsid w:val="00EC4921"/>
    <w:rsid w:val="00EC7213"/>
    <w:rsid w:val="00EC7ACC"/>
    <w:rsid w:val="00ED2BEC"/>
    <w:rsid w:val="00ED64D4"/>
    <w:rsid w:val="00EE1112"/>
    <w:rsid w:val="00EE5E04"/>
    <w:rsid w:val="00EF0F86"/>
    <w:rsid w:val="00EF1FB7"/>
    <w:rsid w:val="00EF3ED9"/>
    <w:rsid w:val="00EF77B8"/>
    <w:rsid w:val="00F009EE"/>
    <w:rsid w:val="00F03B59"/>
    <w:rsid w:val="00F055AF"/>
    <w:rsid w:val="00F06C7D"/>
    <w:rsid w:val="00F07043"/>
    <w:rsid w:val="00F13311"/>
    <w:rsid w:val="00F13AEE"/>
    <w:rsid w:val="00F15296"/>
    <w:rsid w:val="00F24080"/>
    <w:rsid w:val="00F258CD"/>
    <w:rsid w:val="00F30A86"/>
    <w:rsid w:val="00F335A2"/>
    <w:rsid w:val="00F356D6"/>
    <w:rsid w:val="00F4393D"/>
    <w:rsid w:val="00F44599"/>
    <w:rsid w:val="00F51F08"/>
    <w:rsid w:val="00F605F2"/>
    <w:rsid w:val="00F66BD6"/>
    <w:rsid w:val="00F74E62"/>
    <w:rsid w:val="00F76361"/>
    <w:rsid w:val="00F76B30"/>
    <w:rsid w:val="00F820B5"/>
    <w:rsid w:val="00F8216C"/>
    <w:rsid w:val="00F83938"/>
    <w:rsid w:val="00F83DB5"/>
    <w:rsid w:val="00F864A8"/>
    <w:rsid w:val="00F909FF"/>
    <w:rsid w:val="00F91B94"/>
    <w:rsid w:val="00F9412F"/>
    <w:rsid w:val="00F95D71"/>
    <w:rsid w:val="00F96220"/>
    <w:rsid w:val="00FA0863"/>
    <w:rsid w:val="00FA295B"/>
    <w:rsid w:val="00FB014F"/>
    <w:rsid w:val="00FB071C"/>
    <w:rsid w:val="00FB1B63"/>
    <w:rsid w:val="00FB5E77"/>
    <w:rsid w:val="00FC19D9"/>
    <w:rsid w:val="00FC3513"/>
    <w:rsid w:val="00FD3430"/>
    <w:rsid w:val="00FD3B14"/>
    <w:rsid w:val="00FD63BA"/>
    <w:rsid w:val="00FD6D98"/>
    <w:rsid w:val="00FE7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7311</Words>
  <Characters>39705</Characters>
  <Application>Microsoft Office Word</Application>
  <DocSecurity>0</DocSecurity>
  <Lines>3308</Lines>
  <Paragraphs>2938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13</cp:revision>
  <cp:lastPrinted>2025-07-16T13:04:00Z</cp:lastPrinted>
  <dcterms:created xsi:type="dcterms:W3CDTF">2025-07-17T22:05:00Z</dcterms:created>
  <dcterms:modified xsi:type="dcterms:W3CDTF">2025-07-17T22:13:00Z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id="7PbHb4Jc"/&gt;&lt;style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