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6C2" w14:textId="77777777" w:rsidR="00453CD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Trends in Osteomyelitis-Associated Mortality in the United States, 1999-2020: A Population-Based Analysis</w:t>
      </w:r>
    </w:p>
    <w:p w14:paraId="44063765" w14:textId="44932166"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Krishna O. Sanaka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Andrew L.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Marcos C. Schechter, MD</w:t>
      </w:r>
      <w:r w:rsidR="002F789D">
        <w:rPr>
          <w:rFonts w:ascii="Times New Roman" w:eastAsia="Times New Roman" w:hAnsi="Times New Roman" w:cs="Times New Roman"/>
          <w:sz w:val="24"/>
          <w:szCs w:val="24"/>
          <w:vertAlign w:val="superscript"/>
        </w:rPr>
        <w:t>2,3</w:t>
      </w:r>
    </w:p>
    <w:p w14:paraId="3D87EC24" w14:textId="77777777" w:rsidR="00453CD9" w:rsidRDefault="00453CD9">
      <w:pPr>
        <w:spacing w:line="480" w:lineRule="auto"/>
        <w:jc w:val="center"/>
        <w:rPr>
          <w:rFonts w:ascii="Times New Roman" w:eastAsia="Times New Roman" w:hAnsi="Times New Roman" w:cs="Times New Roman"/>
          <w:sz w:val="24"/>
          <w:szCs w:val="24"/>
        </w:rPr>
      </w:pPr>
    </w:p>
    <w:p w14:paraId="227B01BD" w14:textId="5B752A88" w:rsidR="00453CD9" w:rsidRPr="00790070" w:rsidRDefault="00000000" w:rsidP="002F789D">
      <w:pPr>
        <w:pStyle w:val="ListParagraph"/>
        <w:numPr>
          <w:ilvl w:val="0"/>
          <w:numId w:val="1"/>
        </w:numPr>
        <w:spacing w:line="480" w:lineRule="auto"/>
        <w:rPr>
          <w:rFonts w:ascii="Times New Roman" w:eastAsia="Times New Roman" w:hAnsi="Times New Roman" w:cs="Times New Roman"/>
          <w:sz w:val="24"/>
          <w:szCs w:val="24"/>
        </w:rPr>
      </w:pPr>
      <w:r w:rsidRPr="00790070">
        <w:rPr>
          <w:rFonts w:ascii="Times New Roman" w:eastAsia="Times New Roman" w:hAnsi="Times New Roman" w:cs="Times New Roman"/>
          <w:sz w:val="24"/>
          <w:szCs w:val="24"/>
        </w:rPr>
        <w:t>Emory University, Atlanta, GA, United States.</w:t>
      </w:r>
    </w:p>
    <w:p w14:paraId="3AA81D7F" w14:textId="504CA11D" w:rsidR="002F789D" w:rsidRPr="00790070" w:rsidRDefault="002F789D" w:rsidP="002F789D">
      <w:pPr>
        <w:pStyle w:val="ListParagraph"/>
        <w:numPr>
          <w:ilvl w:val="0"/>
          <w:numId w:val="1"/>
        </w:numPr>
        <w:spacing w:line="480" w:lineRule="auto"/>
        <w:rPr>
          <w:rFonts w:ascii="Times New Roman" w:hAnsi="Times New Roman" w:cs="Times New Roman"/>
          <w:sz w:val="24"/>
          <w:szCs w:val="24"/>
        </w:rPr>
      </w:pPr>
      <w:r w:rsidRPr="00790070">
        <w:rPr>
          <w:rFonts w:ascii="Times New Roman" w:hAnsi="Times New Roman" w:cs="Times New Roman"/>
          <w:sz w:val="24"/>
          <w:szCs w:val="24"/>
        </w:rPr>
        <w:t>Emory University School of Medicine, Department of Medicine, Division of Infectious Diseases, Atlanta, GA, USA</w:t>
      </w:r>
      <w:r w:rsidR="00790070" w:rsidRPr="00790070">
        <w:rPr>
          <w:rFonts w:ascii="Times New Roman" w:hAnsi="Times New Roman" w:cs="Times New Roman"/>
          <w:sz w:val="24"/>
          <w:szCs w:val="24"/>
        </w:rPr>
        <w:t>.</w:t>
      </w:r>
    </w:p>
    <w:p w14:paraId="63FE6F46" w14:textId="3CD2CE94" w:rsidR="00453CD9" w:rsidRPr="00790070" w:rsidRDefault="002F789D" w:rsidP="00790070">
      <w:pPr>
        <w:pStyle w:val="ListParagraph"/>
        <w:numPr>
          <w:ilvl w:val="0"/>
          <w:numId w:val="1"/>
        </w:numPr>
        <w:spacing w:line="480" w:lineRule="auto"/>
        <w:rPr>
          <w:rFonts w:ascii="Times New Roman" w:eastAsia="Times New Roman" w:hAnsi="Times New Roman" w:cs="Times New Roman"/>
          <w:sz w:val="24"/>
          <w:szCs w:val="24"/>
        </w:rPr>
      </w:pPr>
      <w:r w:rsidRPr="00790070">
        <w:rPr>
          <w:rFonts w:ascii="Times New Roman" w:hAnsi="Times New Roman" w:cs="Times New Roman"/>
          <w:sz w:val="24"/>
          <w:szCs w:val="24"/>
        </w:rPr>
        <w:t>Grady Health System, Atlanta, GA, USA</w:t>
      </w:r>
    </w:p>
    <w:p w14:paraId="087FD474" w14:textId="77777777" w:rsidR="00F173CE" w:rsidRDefault="00F173CE">
      <w:pPr>
        <w:spacing w:line="480" w:lineRule="auto"/>
        <w:rPr>
          <w:rFonts w:ascii="Times New Roman" w:eastAsia="Times New Roman" w:hAnsi="Times New Roman" w:cs="Times New Roman"/>
          <w:b/>
          <w:sz w:val="24"/>
          <w:szCs w:val="24"/>
        </w:rPr>
      </w:pPr>
    </w:p>
    <w:p w14:paraId="32FFB270" w14:textId="7E18624B"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Background:</w:t>
      </w:r>
      <w:r>
        <w:rPr>
          <w:rFonts w:ascii="Times New Roman" w:eastAsia="Times New Roman" w:hAnsi="Times New Roman" w:cs="Times New Roman"/>
          <w:sz w:val="24"/>
          <w:szCs w:val="24"/>
        </w:rPr>
        <w:t xml:space="preserve"> Osteomyelitis is a serious infection associated with prolonged hospitalizations, amputation risk, and high mortality in vulnerable populations. Despite clinical advances, little is known about national trends in osteomyelitis mortality over time or across demographic groups. We aimed to characterize population-level mortality patterns associated with osteomyelitis in the United States from 1999 to 2020.</w:t>
      </w:r>
    </w:p>
    <w:p w14:paraId="166D3CA5" w14:textId="77777777" w:rsidR="00453CD9" w:rsidRDefault="00453CD9">
      <w:pPr>
        <w:spacing w:line="480" w:lineRule="auto"/>
        <w:rPr>
          <w:rFonts w:ascii="Times New Roman" w:eastAsia="Times New Roman" w:hAnsi="Times New Roman" w:cs="Times New Roman"/>
          <w:sz w:val="24"/>
          <w:szCs w:val="24"/>
        </w:rPr>
      </w:pPr>
    </w:p>
    <w:p w14:paraId="77BC4421" w14:textId="75F314F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w:t>
      </w:r>
      <w:r>
        <w:rPr>
          <w:rFonts w:ascii="Times New Roman" w:eastAsia="Times New Roman" w:hAnsi="Times New Roman" w:cs="Times New Roman"/>
          <w:sz w:val="24"/>
          <w:szCs w:val="24"/>
        </w:rPr>
        <w:t xml:space="preserve"> </w:t>
      </w:r>
      <w:commentRangeStart w:id="0"/>
      <w:r>
        <w:rPr>
          <w:rFonts w:ascii="Times New Roman" w:eastAsia="Times New Roman" w:hAnsi="Times New Roman" w:cs="Times New Roman"/>
          <w:sz w:val="24"/>
          <w:szCs w:val="24"/>
        </w:rPr>
        <w:t>We conducted a retrospective, population-based analysis from the CDC WONDER Multiple Cause of Death database, covering the years 1999 to 2020</w:t>
      </w:r>
      <w:commentRangeEnd w:id="0"/>
      <w:r w:rsidR="002F789D">
        <w:rPr>
          <w:rStyle w:val="CommentReference"/>
        </w:rPr>
        <w:commentReference w:id="0"/>
      </w:r>
      <w:r>
        <w:rPr>
          <w:rFonts w:ascii="Times New Roman" w:eastAsia="Times New Roman" w:hAnsi="Times New Roman" w:cs="Times New Roman"/>
          <w:sz w:val="24"/>
          <w:szCs w:val="24"/>
        </w:rPr>
        <w:t xml:space="preserve">. Death certificates with osteomyelitis as an underlying or contributing cause were identified using the M86 code in the </w:t>
      </w:r>
      <w:commentRangeStart w:id="1"/>
      <w:r>
        <w:rPr>
          <w:rFonts w:ascii="Times New Roman" w:eastAsia="Times New Roman" w:hAnsi="Times New Roman" w:cs="Times New Roman"/>
          <w:sz w:val="24"/>
          <w:szCs w:val="24"/>
        </w:rPr>
        <w:t>International Classification of Diseases, 10th Revision</w:t>
      </w:r>
      <w:commentRangeEnd w:id="1"/>
      <w:r w:rsidR="002F789D">
        <w:rPr>
          <w:rStyle w:val="CommentReference"/>
        </w:rPr>
        <w:commentReference w:id="1"/>
      </w:r>
      <w:r>
        <w:rPr>
          <w:rFonts w:ascii="Times New Roman" w:eastAsia="Times New Roman" w:hAnsi="Times New Roman" w:cs="Times New Roman"/>
          <w:sz w:val="24"/>
          <w:szCs w:val="24"/>
        </w:rPr>
        <w:t xml:space="preserve">. We fitted log-linear regression models to estimate the annual percent change (APC) in age-adjusted mortality rates (AAMRs) over time with stratifications for demographic subgroups. </w:t>
      </w:r>
      <w:commentRangeStart w:id="2"/>
      <w:r>
        <w:rPr>
          <w:rFonts w:ascii="Times New Roman" w:eastAsia="Times New Roman" w:hAnsi="Times New Roman" w:cs="Times New Roman"/>
          <w:sz w:val="24"/>
          <w:szCs w:val="24"/>
        </w:rPr>
        <w:t xml:space="preserve">All analyses were conducted in R (v4.3.1).   </w:t>
      </w:r>
      <w:commentRangeEnd w:id="2"/>
      <w:r w:rsidR="002F789D">
        <w:rPr>
          <w:rStyle w:val="CommentReference"/>
        </w:rPr>
        <w:commentReference w:id="2"/>
      </w:r>
    </w:p>
    <w:p w14:paraId="0C8E9D0E" w14:textId="77777777" w:rsidR="00453CD9" w:rsidRDefault="00453CD9">
      <w:pPr>
        <w:spacing w:line="480" w:lineRule="auto"/>
        <w:rPr>
          <w:rFonts w:ascii="Times New Roman" w:eastAsia="Times New Roman" w:hAnsi="Times New Roman" w:cs="Times New Roman"/>
          <w:sz w:val="24"/>
          <w:szCs w:val="24"/>
        </w:rPr>
      </w:pPr>
    </w:p>
    <w:p w14:paraId="562BC753" w14:textId="36C7A7BD" w:rsidR="00453CD9" w:rsidRDefault="00000000">
      <w:pPr>
        <w:spacing w:line="480" w:lineRule="auto"/>
        <w:rPr>
          <w:rFonts w:ascii="Times New Roman" w:eastAsia="Times New Roman" w:hAnsi="Times New Roman" w:cs="Times New Roman"/>
          <w:sz w:val="24"/>
          <w:szCs w:val="24"/>
        </w:rPr>
      </w:pPr>
      <w:commentRangeStart w:id="3"/>
      <w:commentRangeStart w:id="4"/>
      <w:r>
        <w:rPr>
          <w:rFonts w:ascii="Times New Roman" w:eastAsia="Times New Roman" w:hAnsi="Times New Roman" w:cs="Times New Roman"/>
          <w:b/>
          <w:sz w:val="24"/>
          <w:szCs w:val="24"/>
        </w:rPr>
        <w:lastRenderedPageBreak/>
        <w:t>Results:</w:t>
      </w:r>
      <w:r>
        <w:rPr>
          <w:rFonts w:ascii="Times New Roman" w:eastAsia="Times New Roman" w:hAnsi="Times New Roman" w:cs="Times New Roman"/>
          <w:sz w:val="24"/>
          <w:szCs w:val="24"/>
        </w:rPr>
        <w:t xml:space="preserve"> </w:t>
      </w:r>
      <w:commentRangeEnd w:id="3"/>
      <w:r w:rsidR="002F789D">
        <w:rPr>
          <w:rStyle w:val="CommentReference"/>
        </w:rPr>
        <w:commentReference w:id="3"/>
      </w:r>
      <w:commentRangeEnd w:id="4"/>
      <w:r w:rsidR="00F949B3">
        <w:rPr>
          <w:rStyle w:val="CommentReference"/>
        </w:rPr>
        <w:commentReference w:id="4"/>
      </w:r>
      <w:r>
        <w:rPr>
          <w:rFonts w:ascii="Times New Roman" w:eastAsia="Times New Roman" w:hAnsi="Times New Roman" w:cs="Times New Roman"/>
          <w:sz w:val="24"/>
          <w:szCs w:val="24"/>
        </w:rPr>
        <w:t>Throughout the study period, there were 85,474 death certificates with osteomyelitis listed as a contributing factor. The AAMR rose from 0.9</w:t>
      </w:r>
      <w:r w:rsidR="002F789D">
        <w:rPr>
          <w:rFonts w:ascii="Times New Roman" w:eastAsia="Times New Roman" w:hAnsi="Times New Roman" w:cs="Times New Roman"/>
          <w:sz w:val="24"/>
          <w:szCs w:val="24"/>
        </w:rPr>
        <w:t xml:space="preserve"> per 100,000</w:t>
      </w:r>
      <w:r>
        <w:rPr>
          <w:rFonts w:ascii="Times New Roman" w:eastAsia="Times New Roman" w:hAnsi="Times New Roman" w:cs="Times New Roman"/>
          <w:sz w:val="24"/>
          <w:szCs w:val="24"/>
        </w:rPr>
        <w:t xml:space="preserve"> in 1999 to 1.8 </w:t>
      </w:r>
      <w:r w:rsidR="002F789D">
        <w:rPr>
          <w:rFonts w:ascii="Times New Roman" w:eastAsia="Times New Roman" w:hAnsi="Times New Roman" w:cs="Times New Roman"/>
          <w:sz w:val="24"/>
          <w:szCs w:val="24"/>
        </w:rPr>
        <w:t xml:space="preserve">per 100,000 </w:t>
      </w:r>
      <w:r>
        <w:rPr>
          <w:rFonts w:ascii="Times New Roman" w:eastAsia="Times New Roman" w:hAnsi="Times New Roman" w:cs="Times New Roman"/>
          <w:sz w:val="24"/>
          <w:szCs w:val="24"/>
        </w:rPr>
        <w:t>in 2020,</w:t>
      </w:r>
      <w:r w:rsidR="00F80152">
        <w:rPr>
          <w:rFonts w:ascii="Times New Roman" w:eastAsia="Times New Roman" w:hAnsi="Times New Roman" w:cs="Times New Roman"/>
          <w:sz w:val="24"/>
          <w:szCs w:val="24"/>
        </w:rPr>
        <w:t xml:space="preserve"> resulting in</w:t>
      </w:r>
      <w:r>
        <w:rPr>
          <w:rFonts w:ascii="Times New Roman" w:eastAsia="Times New Roman" w:hAnsi="Times New Roman" w:cs="Times New Roman"/>
          <w:sz w:val="24"/>
          <w:szCs w:val="24"/>
        </w:rPr>
        <w:t xml:space="preserve"> an APC of 2.57% (p &lt; 0.01)</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1</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AAMR appeared to rise more quickly in 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an APC of 3.1% (p &lt; 0.01) compared to 1.47% in female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(p &lt; 0.01)</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2</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Racial groups also showed differences in their trends in AAMR over the study period</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3</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Native American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showed the greatest increase, with an APC of 3.26% (p &lt; 0.01), followed by White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2.58% (p &lt; 0.01), and Black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with 1.35% (p &lt; 0.01). Asian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showed no significant change in their mortality rates over the study period. Overall, 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 xml:space="preserve">s demonstrated significantly higher AAMRs than female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(1.52</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 xml:space="preserve"> vs. 0.88</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 xml:space="preserve">) and Black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had significantly higher AAMRs (2.08</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 than Native American (1.61</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 White (1.09</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 xml:space="preserve">), and Asian </w:t>
      </w:r>
      <w:r w:rsidR="00F80152">
        <w:rPr>
          <w:rFonts w:ascii="Times New Roman" w:eastAsia="Times New Roman" w:hAnsi="Times New Roman" w:cs="Times New Roman"/>
          <w:sz w:val="24"/>
          <w:szCs w:val="24"/>
        </w:rPr>
        <w:t>person</w:t>
      </w:r>
      <w:r>
        <w:rPr>
          <w:rFonts w:ascii="Times New Roman" w:eastAsia="Times New Roman" w:hAnsi="Times New Roman" w:cs="Times New Roman"/>
          <w:sz w:val="24"/>
          <w:szCs w:val="24"/>
        </w:rPr>
        <w:t>s (0.46</w:t>
      </w:r>
      <w:r w:rsidR="00023C38">
        <w:rPr>
          <w:rFonts w:ascii="Times New Roman" w:eastAsia="Times New Roman" w:hAnsi="Times New Roman" w:cs="Times New Roman"/>
          <w:sz w:val="24"/>
          <w:szCs w:val="24"/>
        </w:rPr>
        <w:t xml:space="preserve"> </w:t>
      </w:r>
      <w:r w:rsidR="00023C38">
        <w:rPr>
          <w:rFonts w:ascii="Times New Roman" w:eastAsia="Times New Roman" w:hAnsi="Times New Roman" w:cs="Times New Roman"/>
          <w:sz w:val="24"/>
          <w:szCs w:val="24"/>
        </w:rPr>
        <w:t>per 100,000</w:t>
      </w:r>
      <w:r>
        <w:rPr>
          <w:rFonts w:ascii="Times New Roman" w:eastAsia="Times New Roman" w:hAnsi="Times New Roman" w:cs="Times New Roman"/>
          <w:sz w:val="24"/>
          <w:szCs w:val="24"/>
        </w:rPr>
        <w:t>)</w:t>
      </w:r>
      <w:r w:rsidR="00F949B3">
        <w:rPr>
          <w:rFonts w:ascii="Times New Roman" w:eastAsia="Times New Roman" w:hAnsi="Times New Roman" w:cs="Times New Roman"/>
          <w:sz w:val="24"/>
          <w:szCs w:val="24"/>
        </w:rPr>
        <w:t xml:space="preserve"> (</w:t>
      </w:r>
      <w:r w:rsidR="00F949B3" w:rsidRPr="00BE1416">
        <w:rPr>
          <w:rFonts w:ascii="Times New Roman" w:eastAsia="Times New Roman" w:hAnsi="Times New Roman" w:cs="Times New Roman"/>
          <w:b/>
          <w:bCs/>
          <w:sz w:val="24"/>
          <w:szCs w:val="24"/>
        </w:rPr>
        <w:t>Figure 4</w:t>
      </w:r>
      <w:r w:rsidR="00F949B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88A9F8E" w14:textId="77777777" w:rsidR="00453CD9" w:rsidRDefault="00453CD9">
      <w:pPr>
        <w:spacing w:line="480" w:lineRule="auto"/>
        <w:rPr>
          <w:rFonts w:ascii="Times New Roman" w:eastAsia="Times New Roman" w:hAnsi="Times New Roman" w:cs="Times New Roman"/>
          <w:sz w:val="24"/>
          <w:szCs w:val="24"/>
        </w:rPr>
      </w:pPr>
    </w:p>
    <w:p w14:paraId="2917F3B6"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 </w:t>
      </w:r>
      <w:r>
        <w:rPr>
          <w:rFonts w:ascii="Times New Roman" w:eastAsia="Times New Roman" w:hAnsi="Times New Roman" w:cs="Times New Roman"/>
          <w:sz w:val="24"/>
          <w:szCs w:val="24"/>
        </w:rPr>
        <w:t>Osteomyelitis mortality rates have steadily increased over the past two decades, with marked demographic disparities. These findings underscore the need for improved prevention, earlier diagnosis, and targeted intervention strategies, particularly in high-burden populations.</w:t>
      </w:r>
      <w:r>
        <w:br w:type="page"/>
      </w:r>
    </w:p>
    <w:p w14:paraId="16ED60E4" w14:textId="77777777" w:rsidR="00453CD9" w:rsidRDefault="00000000">
      <w:pPr>
        <w:spacing w:line="480" w:lineRule="auto"/>
        <w:rPr>
          <w:rFonts w:ascii="Times New Roman" w:eastAsia="Times New Roman" w:hAnsi="Times New Roman" w:cs="Times New Roman"/>
          <w:b/>
          <w:sz w:val="24"/>
          <w:szCs w:val="24"/>
        </w:rPr>
      </w:pPr>
      <w:commentRangeStart w:id="5"/>
      <w:r>
        <w:rPr>
          <w:rFonts w:ascii="Times New Roman" w:eastAsia="Times New Roman" w:hAnsi="Times New Roman" w:cs="Times New Roman"/>
          <w:b/>
          <w:sz w:val="24"/>
          <w:szCs w:val="24"/>
        </w:rPr>
        <w:lastRenderedPageBreak/>
        <w:t>Figure 1.</w:t>
      </w:r>
      <w:commentRangeEnd w:id="5"/>
      <w:r w:rsidR="002F789D">
        <w:rPr>
          <w:rStyle w:val="CommentReference"/>
        </w:rPr>
        <w:commentReference w:id="5"/>
      </w:r>
    </w:p>
    <w:p w14:paraId="2BAAC12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6A3E990F" wp14:editId="7E82D0C0">
            <wp:extent cx="5943600" cy="4356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4356100"/>
                    </a:xfrm>
                    <a:prstGeom prst="rect">
                      <a:avLst/>
                    </a:prstGeom>
                    <a:ln/>
                  </pic:spPr>
                </pic:pic>
              </a:graphicData>
            </a:graphic>
          </wp:inline>
        </w:drawing>
      </w:r>
      <w:r>
        <w:br w:type="page"/>
      </w:r>
    </w:p>
    <w:p w14:paraId="50C0C318"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w:t>
      </w:r>
    </w:p>
    <w:p w14:paraId="0E0945F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B8F6310" wp14:editId="46D84CAE">
            <wp:extent cx="5943600" cy="4356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4356100"/>
                    </a:xfrm>
                    <a:prstGeom prst="rect">
                      <a:avLst/>
                    </a:prstGeom>
                    <a:ln/>
                  </pic:spPr>
                </pic:pic>
              </a:graphicData>
            </a:graphic>
          </wp:inline>
        </w:drawing>
      </w:r>
      <w:r>
        <w:br w:type="page"/>
      </w:r>
    </w:p>
    <w:p w14:paraId="14CDCAD5"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3. </w:t>
      </w:r>
    </w:p>
    <w:p w14:paraId="35EB0666"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73029064" wp14:editId="446A3CB8">
            <wp:extent cx="5943600" cy="4356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356100"/>
                    </a:xfrm>
                    <a:prstGeom prst="rect">
                      <a:avLst/>
                    </a:prstGeom>
                    <a:ln/>
                  </pic:spPr>
                </pic:pic>
              </a:graphicData>
            </a:graphic>
          </wp:inline>
        </w:drawing>
      </w:r>
      <w:r>
        <w:br w:type="page"/>
      </w:r>
    </w:p>
    <w:p w14:paraId="146159AA" w14:textId="77777777" w:rsidR="00453CD9" w:rsidRDefault="00000000">
      <w:pPr>
        <w:spacing w:line="480" w:lineRule="auto"/>
        <w:rPr>
          <w:rFonts w:ascii="Times New Roman" w:eastAsia="Times New Roman" w:hAnsi="Times New Roman" w:cs="Times New Roman"/>
          <w:sz w:val="24"/>
          <w:szCs w:val="24"/>
        </w:rPr>
      </w:pPr>
      <w:commentRangeStart w:id="6"/>
      <w:r>
        <w:rPr>
          <w:rFonts w:ascii="Times New Roman" w:eastAsia="Times New Roman" w:hAnsi="Times New Roman" w:cs="Times New Roman"/>
          <w:b/>
          <w:sz w:val="24"/>
          <w:szCs w:val="24"/>
        </w:rPr>
        <w:lastRenderedPageBreak/>
        <w:t xml:space="preserve">Figure 4. </w:t>
      </w:r>
      <w:commentRangeEnd w:id="6"/>
      <w:r w:rsidR="002F789D">
        <w:rPr>
          <w:rStyle w:val="CommentReference"/>
        </w:rPr>
        <w:commentReference w:id="6"/>
      </w:r>
    </w:p>
    <w:p w14:paraId="75B983BB"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84A5E" wp14:editId="6539C4B9">
            <wp:extent cx="5943600" cy="4356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356100"/>
                    </a:xfrm>
                    <a:prstGeom prst="rect">
                      <a:avLst/>
                    </a:prstGeom>
                    <a:ln/>
                  </pic:spPr>
                </pic:pic>
              </a:graphicData>
            </a:graphic>
          </wp:inline>
        </w:drawing>
      </w:r>
    </w:p>
    <w:p w14:paraId="68FF86E1" w14:textId="77777777" w:rsidR="00453CD9" w:rsidRDefault="00453CD9">
      <w:pPr>
        <w:spacing w:line="480" w:lineRule="auto"/>
        <w:rPr>
          <w:rFonts w:ascii="Times New Roman" w:eastAsia="Times New Roman" w:hAnsi="Times New Roman" w:cs="Times New Roman"/>
          <w:sz w:val="24"/>
          <w:szCs w:val="24"/>
        </w:rPr>
      </w:pPr>
    </w:p>
    <w:p w14:paraId="2DE65FCC" w14:textId="77777777" w:rsidR="00453CD9" w:rsidRDefault="00453CD9">
      <w:pPr>
        <w:spacing w:line="480" w:lineRule="auto"/>
        <w:rPr>
          <w:rFonts w:ascii="Times New Roman" w:eastAsia="Times New Roman" w:hAnsi="Times New Roman" w:cs="Times New Roman"/>
          <w:sz w:val="24"/>
          <w:szCs w:val="24"/>
        </w:rPr>
      </w:pPr>
    </w:p>
    <w:p w14:paraId="79F5EAD3" w14:textId="77777777" w:rsidR="00453CD9" w:rsidRDefault="00453CD9">
      <w:pPr>
        <w:spacing w:line="480" w:lineRule="auto"/>
        <w:rPr>
          <w:rFonts w:ascii="Times New Roman" w:eastAsia="Times New Roman" w:hAnsi="Times New Roman" w:cs="Times New Roman"/>
          <w:sz w:val="24"/>
          <w:szCs w:val="24"/>
        </w:rPr>
      </w:pPr>
    </w:p>
    <w:sectPr w:rsidR="00453CD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utinho Schechter, Marcos" w:date="2025-04-23T13:37:00Z" w:initials="MC">
    <w:p w14:paraId="2FACE313" w14:textId="6C5BCC55" w:rsidR="002F789D" w:rsidRDefault="002F789D" w:rsidP="002F789D">
      <w:r>
        <w:rPr>
          <w:rStyle w:val="CommentReference"/>
        </w:rPr>
        <w:annotationRef/>
      </w:r>
      <w:r>
        <w:rPr>
          <w:color w:val="000000"/>
          <w:sz w:val="20"/>
          <w:szCs w:val="20"/>
        </w:rPr>
        <w:t>Would be good to explain this database covers ALL US deaths. (If that is true).</w:t>
      </w:r>
    </w:p>
  </w:comment>
  <w:comment w:id="1" w:author="Coutinho Schechter, Marcos" w:date="2025-04-23T13:36:00Z" w:initials="MC">
    <w:p w14:paraId="6197121D" w14:textId="6A30BFA9" w:rsidR="002F789D" w:rsidRDefault="002F789D" w:rsidP="002F789D">
      <w:r>
        <w:rPr>
          <w:rStyle w:val="CommentReference"/>
        </w:rPr>
        <w:annotationRef/>
      </w:r>
      <w:r>
        <w:rPr>
          <w:color w:val="000000"/>
          <w:sz w:val="20"/>
          <w:szCs w:val="20"/>
        </w:rPr>
        <w:t xml:space="preserve">Can write “ICD-10” to save space if needed. </w:t>
      </w:r>
    </w:p>
  </w:comment>
  <w:comment w:id="2" w:author="Coutinho Schechter, Marcos" w:date="2025-04-23T13:36:00Z" w:initials="MC">
    <w:p w14:paraId="44DEC62A" w14:textId="64A14D7E" w:rsidR="002F789D" w:rsidRDefault="002F789D" w:rsidP="002F789D">
      <w:r>
        <w:rPr>
          <w:rStyle w:val="CommentReference"/>
        </w:rPr>
        <w:annotationRef/>
      </w:r>
      <w:r>
        <w:rPr>
          <w:color w:val="000000"/>
          <w:sz w:val="20"/>
          <w:szCs w:val="20"/>
        </w:rPr>
        <w:t xml:space="preserve">Can delete to save space if needed. </w:t>
      </w:r>
    </w:p>
  </w:comment>
  <w:comment w:id="3" w:author="Coutinho Schechter, Marcos" w:date="2025-04-23T13:36:00Z" w:initials="MC">
    <w:p w14:paraId="0EA1A6C9" w14:textId="1CB9ABB4" w:rsidR="002F789D" w:rsidRDefault="002F789D" w:rsidP="002F789D">
      <w:r>
        <w:rPr>
          <w:rStyle w:val="CommentReference"/>
        </w:rPr>
        <w:annotationRef/>
      </w:r>
      <w:r>
        <w:rPr>
          <w:color w:val="000000"/>
          <w:sz w:val="20"/>
          <w:szCs w:val="20"/>
        </w:rPr>
        <w:t xml:space="preserve">Refer the reader to each figure. </w:t>
      </w:r>
    </w:p>
  </w:comment>
  <w:comment w:id="4" w:author="Coutinho Schechter, Marcos" w:date="2025-04-23T13:43:00Z" w:initials="MC">
    <w:p w14:paraId="1AEF408C" w14:textId="77777777" w:rsidR="00F949B3" w:rsidRDefault="00F949B3" w:rsidP="00F949B3">
      <w:r>
        <w:rPr>
          <w:rStyle w:val="CommentReference"/>
        </w:rPr>
        <w:annotationRef/>
      </w:r>
      <w:r>
        <w:rPr>
          <w:color w:val="000000"/>
          <w:sz w:val="20"/>
          <w:szCs w:val="20"/>
        </w:rPr>
        <w:t>Unless there are different instructions for IDWeek</w:t>
      </w:r>
    </w:p>
  </w:comment>
  <w:comment w:id="5" w:author="Coutinho Schechter, Marcos" w:date="2025-04-23T13:41:00Z" w:initials="MC">
    <w:p w14:paraId="12BF6383" w14:textId="77777777" w:rsidR="002F789D" w:rsidRDefault="002F789D" w:rsidP="002F789D">
      <w:r>
        <w:rPr>
          <w:rStyle w:val="CommentReference"/>
        </w:rPr>
        <w:annotationRef/>
      </w:r>
      <w:r>
        <w:rPr>
          <w:color w:val="000000"/>
          <w:sz w:val="20"/>
          <w:szCs w:val="20"/>
        </w:rPr>
        <w:t>Would write “United States 1999-2020” in all figures</w:t>
      </w:r>
    </w:p>
  </w:comment>
  <w:comment w:id="6" w:author="Coutinho Schechter, Marcos" w:date="2025-04-23T13:40:00Z" w:initials="MC">
    <w:p w14:paraId="5025427F" w14:textId="1065D8B4" w:rsidR="002F789D" w:rsidRDefault="002F789D" w:rsidP="002F789D">
      <w:r>
        <w:rPr>
          <w:rStyle w:val="CommentReference"/>
        </w:rPr>
        <w:annotationRef/>
      </w:r>
      <w:r>
        <w:rPr>
          <w:color w:val="000000"/>
          <w:sz w:val="20"/>
          <w:szCs w:val="20"/>
        </w:rPr>
        <w:t>Would add “United States 1999-2020” to the figure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CE313" w15:done="0"/>
  <w15:commentEx w15:paraId="6197121D" w15:done="0"/>
  <w15:commentEx w15:paraId="44DEC62A" w15:done="0"/>
  <w15:commentEx w15:paraId="0EA1A6C9" w15:done="0"/>
  <w15:commentEx w15:paraId="1AEF408C" w15:paraIdParent="0EA1A6C9" w15:done="0"/>
  <w15:commentEx w15:paraId="12BF6383" w15:done="0"/>
  <w15:commentEx w15:paraId="502542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6D024" w16cex:dateUtc="2025-04-23T17:37:00Z"/>
  <w16cex:commentExtensible w16cex:durableId="2CD85B9B" w16cex:dateUtc="2025-04-23T17:36:00Z"/>
  <w16cex:commentExtensible w16cex:durableId="720DC126" w16cex:dateUtc="2025-04-23T17:36:00Z"/>
  <w16cex:commentExtensible w16cex:durableId="799FBAFD" w16cex:dateUtc="2025-04-23T17:36:00Z"/>
  <w16cex:commentExtensible w16cex:durableId="0F7E421A" w16cex:dateUtc="2025-04-23T17:43:00Z"/>
  <w16cex:commentExtensible w16cex:durableId="14CB72DB" w16cex:dateUtc="2025-04-23T17:41:00Z"/>
  <w16cex:commentExtensible w16cex:durableId="4F81EAF3" w16cex:dateUtc="2025-04-23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CE313" w16cid:durableId="71D6D024"/>
  <w16cid:commentId w16cid:paraId="6197121D" w16cid:durableId="2CD85B9B"/>
  <w16cid:commentId w16cid:paraId="44DEC62A" w16cid:durableId="720DC126"/>
  <w16cid:commentId w16cid:paraId="0EA1A6C9" w16cid:durableId="799FBAFD"/>
  <w16cid:commentId w16cid:paraId="1AEF408C" w16cid:durableId="0F7E421A"/>
  <w16cid:commentId w16cid:paraId="12BF6383" w16cid:durableId="14CB72DB"/>
  <w16cid:commentId w16cid:paraId="5025427F" w16cid:durableId="4F81EA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F1204"/>
    <w:multiLevelType w:val="hybridMultilevel"/>
    <w:tmpl w:val="4F40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3887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utinho Schechter, Marcos">
    <w15:presenceInfo w15:providerId="AD" w15:userId="S::MCOUTIN@emory.edu::4e6004d7-208c-4ee5-a51c-3307a41ad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D9"/>
    <w:rsid w:val="00023C38"/>
    <w:rsid w:val="000F0546"/>
    <w:rsid w:val="002F789D"/>
    <w:rsid w:val="00453CD9"/>
    <w:rsid w:val="005961F9"/>
    <w:rsid w:val="00790070"/>
    <w:rsid w:val="008F63FD"/>
    <w:rsid w:val="00910854"/>
    <w:rsid w:val="00BE1416"/>
    <w:rsid w:val="00CC0245"/>
    <w:rsid w:val="00F173CE"/>
    <w:rsid w:val="00F262BA"/>
    <w:rsid w:val="00F80152"/>
    <w:rsid w:val="00F9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F89A7"/>
  <w15:docId w15:val="{A8E20C83-22FC-A747-8464-D17B8F44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2F789D"/>
    <w:pPr>
      <w:spacing w:line="240" w:lineRule="auto"/>
    </w:pPr>
  </w:style>
  <w:style w:type="character" w:styleId="CommentReference">
    <w:name w:val="annotation reference"/>
    <w:basedOn w:val="DefaultParagraphFont"/>
    <w:uiPriority w:val="99"/>
    <w:semiHidden/>
    <w:unhideWhenUsed/>
    <w:rsid w:val="002F789D"/>
    <w:rPr>
      <w:sz w:val="16"/>
      <w:szCs w:val="16"/>
    </w:rPr>
  </w:style>
  <w:style w:type="paragraph" w:styleId="CommentText">
    <w:name w:val="annotation text"/>
    <w:basedOn w:val="Normal"/>
    <w:link w:val="CommentTextChar"/>
    <w:uiPriority w:val="99"/>
    <w:semiHidden/>
    <w:unhideWhenUsed/>
    <w:rsid w:val="002F789D"/>
    <w:pPr>
      <w:spacing w:line="240" w:lineRule="auto"/>
    </w:pPr>
    <w:rPr>
      <w:sz w:val="20"/>
      <w:szCs w:val="20"/>
    </w:rPr>
  </w:style>
  <w:style w:type="character" w:customStyle="1" w:styleId="CommentTextChar">
    <w:name w:val="Comment Text Char"/>
    <w:basedOn w:val="DefaultParagraphFont"/>
    <w:link w:val="CommentText"/>
    <w:uiPriority w:val="99"/>
    <w:semiHidden/>
    <w:rsid w:val="002F789D"/>
    <w:rPr>
      <w:sz w:val="20"/>
      <w:szCs w:val="20"/>
    </w:rPr>
  </w:style>
  <w:style w:type="paragraph" w:styleId="CommentSubject">
    <w:name w:val="annotation subject"/>
    <w:basedOn w:val="CommentText"/>
    <w:next w:val="CommentText"/>
    <w:link w:val="CommentSubjectChar"/>
    <w:uiPriority w:val="99"/>
    <w:semiHidden/>
    <w:unhideWhenUsed/>
    <w:rsid w:val="002F789D"/>
    <w:rPr>
      <w:b/>
      <w:bCs/>
    </w:rPr>
  </w:style>
  <w:style w:type="character" w:customStyle="1" w:styleId="CommentSubjectChar">
    <w:name w:val="Comment Subject Char"/>
    <w:basedOn w:val="CommentTextChar"/>
    <w:link w:val="CommentSubject"/>
    <w:uiPriority w:val="99"/>
    <w:semiHidden/>
    <w:rsid w:val="002F789D"/>
    <w:rPr>
      <w:b/>
      <w:bCs/>
      <w:sz w:val="20"/>
      <w:szCs w:val="20"/>
    </w:rPr>
  </w:style>
  <w:style w:type="paragraph" w:styleId="ListParagraph">
    <w:name w:val="List Paragraph"/>
    <w:basedOn w:val="Normal"/>
    <w:uiPriority w:val="34"/>
    <w:qFormat/>
    <w:rsid w:val="002F78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Sanaka, Krishna</cp:lastModifiedBy>
  <cp:revision>11</cp:revision>
  <dcterms:created xsi:type="dcterms:W3CDTF">2025-04-25T22:11:00Z</dcterms:created>
  <dcterms:modified xsi:type="dcterms:W3CDTF">2025-04-28T00:36:00Z</dcterms:modified>
</cp:coreProperties>
</file>