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1DD1" w14:textId="02E5A2A3" w:rsidR="00CC6841" w:rsidRPr="0055472F" w:rsidRDefault="00676552" w:rsidP="00676552">
      <w:pPr>
        <w:spacing w:after="0" w:line="480" w:lineRule="auto"/>
        <w:rPr>
          <w:rFonts w:ascii="Times New Roman" w:hAnsi="Times New Roman" w:cs="Times New Roman"/>
        </w:rPr>
      </w:pPr>
      <w:r w:rsidRPr="0055472F">
        <w:rPr>
          <w:rFonts w:ascii="Times New Roman" w:hAnsi="Times New Roman" w:cs="Times New Roman"/>
          <w:b/>
          <w:bCs/>
        </w:rPr>
        <w:t>Introduction</w:t>
      </w:r>
    </w:p>
    <w:p w14:paraId="250863F9" w14:textId="7DE9B809" w:rsidR="00676552" w:rsidRPr="0055472F" w:rsidRDefault="0088083F" w:rsidP="00676552">
      <w:pPr>
        <w:spacing w:after="0" w:line="480" w:lineRule="auto"/>
        <w:rPr>
          <w:rFonts w:ascii="Times New Roman" w:hAnsi="Times New Roman" w:cs="Times New Roman"/>
        </w:rPr>
      </w:pPr>
      <w:r>
        <w:rPr>
          <w:rFonts w:ascii="Times New Roman" w:hAnsi="Times New Roman" w:cs="Times New Roman"/>
        </w:rPr>
        <w:tab/>
      </w:r>
    </w:p>
    <w:p w14:paraId="0B82E89A" w14:textId="77777777" w:rsidR="00676552" w:rsidRPr="0055472F" w:rsidRDefault="00676552" w:rsidP="00676552">
      <w:pPr>
        <w:spacing w:after="0" w:line="480" w:lineRule="auto"/>
        <w:rPr>
          <w:rFonts w:ascii="Times New Roman" w:hAnsi="Times New Roman" w:cs="Times New Roman"/>
        </w:rPr>
      </w:pPr>
    </w:p>
    <w:p w14:paraId="0531A8F1" w14:textId="6F8F285B" w:rsidR="00676552" w:rsidRPr="0055472F" w:rsidRDefault="00676552" w:rsidP="00676552">
      <w:pPr>
        <w:spacing w:after="0" w:line="480" w:lineRule="auto"/>
        <w:rPr>
          <w:rFonts w:ascii="Times New Roman" w:hAnsi="Times New Roman" w:cs="Times New Roman"/>
        </w:rPr>
      </w:pPr>
      <w:r w:rsidRPr="0055472F">
        <w:rPr>
          <w:rFonts w:ascii="Times New Roman" w:hAnsi="Times New Roman" w:cs="Times New Roman"/>
          <w:b/>
          <w:bCs/>
        </w:rPr>
        <w:t>Methods</w:t>
      </w:r>
    </w:p>
    <w:p w14:paraId="414A6329" w14:textId="217373F8"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We conducted a population-based, cross-sectional study using national mortality data from the Centers for Disease Control and Prevention (CDC) Wide-ranging Online Data for Epidemiologic Research (WONDER) platform. The study included all U.S. resident deaths from 1999 to 2020 in which osteomyelitis was listed as a multiple cause of death, meaning it appeared anywhere on the death certificate, either as the underlying or a contributing cause.</w:t>
      </w:r>
      <w:r>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ADDIN ZOTERO_ITEM CSL_CITATION {"citationID":"m7s3qKd3","properties":{"formattedCitation":"\\super 1\\nosupersub{}","plainCitation":"1","noteIndex":0},"citationItems":[{"id":5521,"uris":["http://zotero.org/groups/5952805/items/CSPPI9H8"],"itemData":{"id":5521,"type":"webpage","container-title":"Centers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Pr>
          <w:rFonts w:ascii="Times New Roman" w:eastAsia="Times New Roman" w:hAnsi="Times New Roman" w:cs="Times New Roman"/>
          <w:color w:val="000000"/>
          <w:kern w:val="0"/>
          <w14:ligatures w14:val="none"/>
        </w:rPr>
        <w:fldChar w:fldCharType="separate"/>
      </w:r>
      <w:r w:rsidRPr="0055472F">
        <w:rPr>
          <w:rFonts w:ascii="Times New Roman" w:hAnsi="Times New Roman" w:cs="Times New Roman"/>
          <w:color w:val="000000"/>
          <w:kern w:val="0"/>
          <w:vertAlign w:val="superscript"/>
        </w:rPr>
        <w:t>1</w:t>
      </w:r>
      <w:r>
        <w:rPr>
          <w:rFonts w:ascii="Times New Roman" w:eastAsia="Times New Roman" w:hAnsi="Times New Roman" w:cs="Times New Roman"/>
          <w:color w:val="000000"/>
          <w:kern w:val="0"/>
          <w14:ligatures w14:val="none"/>
        </w:rPr>
        <w:fldChar w:fldCharType="end"/>
      </w:r>
      <w:r w:rsidRPr="0055472F">
        <w:rPr>
          <w:rFonts w:ascii="Times New Roman" w:eastAsia="Times New Roman" w:hAnsi="Times New Roman" w:cs="Times New Roman"/>
          <w:color w:val="000000"/>
          <w:kern w:val="0"/>
          <w14:ligatures w14:val="none"/>
        </w:rPr>
        <w:t xml:space="preserve"> </w:t>
      </w:r>
    </w:p>
    <w:p w14:paraId="5DCAF79B" w14:textId="1CEAE889"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Because the dataset represents the full population of death certificates filed during the study period, no sampling was performed.</w:t>
      </w:r>
      <w:r w:rsidR="00FE7223">
        <w:rPr>
          <w:rFonts w:ascii="Times New Roman" w:eastAsia="Times New Roman" w:hAnsi="Times New Roman" w:cs="Times New Roman"/>
          <w:color w:val="000000"/>
          <w:kern w:val="0"/>
          <w14:ligatures w14:val="none"/>
        </w:rPr>
        <w:fldChar w:fldCharType="begin"/>
      </w:r>
      <w:r w:rsidR="00FE7223">
        <w:rPr>
          <w:rFonts w:ascii="Times New Roman" w:eastAsia="Times New Roman" w:hAnsi="Times New Roman" w:cs="Times New Roman"/>
          <w:color w:val="000000"/>
          <w:kern w:val="0"/>
          <w14:ligatures w14:val="none"/>
        </w:rPr>
        <w:instrText xml:space="preserve"> ADDIN ZOTERO_ITEM CSL_CITATION {"citationID":"tmgDgUEq","properties":{"formattedCitation":"\\super 2\\nosupersub{}","plainCitation":"2","noteIndex":0},"citationItems":[{"id":5520,"uris":["http://zotero.org/groups/5952805/items/4EX9XING"],"itemData":{"id":5520,"type":"webpage","container-title":"CDC WONDER","title":"WONDER Help","URL":"https://wonder.cdc.gov/wonder/help/main.html","accessed":{"date-parts":[["2025",4,15]]},"issued":{"date-parts":[["2025",4,8]]}}}],"schema":"https://github.com/citation-style-language/schema/raw/master/csl-citation.json"} </w:instrText>
      </w:r>
      <w:r w:rsidR="00FE7223">
        <w:rPr>
          <w:rFonts w:ascii="Times New Roman" w:eastAsia="Times New Roman" w:hAnsi="Times New Roman" w:cs="Times New Roman"/>
          <w:color w:val="000000"/>
          <w:kern w:val="0"/>
          <w14:ligatures w14:val="none"/>
        </w:rPr>
        <w:fldChar w:fldCharType="separate"/>
      </w:r>
      <w:r w:rsidR="00FE7223" w:rsidRPr="00FE7223">
        <w:rPr>
          <w:rFonts w:ascii="Times New Roman" w:hAnsi="Times New Roman" w:cs="Times New Roman"/>
          <w:color w:val="000000"/>
          <w:kern w:val="0"/>
          <w:vertAlign w:val="superscript"/>
        </w:rPr>
        <w:t>2</w:t>
      </w:r>
      <w:r w:rsidR="00FE7223">
        <w:rPr>
          <w:rFonts w:ascii="Times New Roman" w:eastAsia="Times New Roman" w:hAnsi="Times New Roman" w:cs="Times New Roman"/>
          <w:color w:val="000000"/>
          <w:kern w:val="0"/>
          <w14:ligatures w14:val="none"/>
        </w:rPr>
        <w:fldChar w:fldCharType="end"/>
      </w:r>
      <w:r w:rsidRPr="0055472F">
        <w:rPr>
          <w:rFonts w:ascii="Times New Roman" w:eastAsia="Times New Roman" w:hAnsi="Times New Roman" w:cs="Times New Roman"/>
          <w:color w:val="000000"/>
          <w:kern w:val="0"/>
          <w14:ligatures w14:val="none"/>
        </w:rPr>
        <w:t xml:space="preserve"> The data are drawn from the National Vital Statistics System (NVSS) and represent complete death records submitted by state vital registration offices.</w:t>
      </w:r>
      <w:r w:rsidRPr="0055472F">
        <w:rPr>
          <w:rFonts w:ascii="Times New Roman" w:eastAsia="Times New Roman" w:hAnsi="Times New Roman" w:cs="Times New Roman"/>
          <w:kern w:val="0"/>
          <w14:ligatures w14:val="none"/>
        </w:rPr>
        <w:t xml:space="preserve"> </w:t>
      </w:r>
    </w:p>
    <w:p w14:paraId="4E89DBBC" w14:textId="319BEBD0" w:rsidR="0055472F" w:rsidRPr="0055472F" w:rsidRDefault="0055472F" w:rsidP="0055472F">
      <w:pPr>
        <w:spacing w:after="0" w:line="480" w:lineRule="auto"/>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ab/>
        <w:t>Data were accessed and downloaded using CDC WONDER’s Multiple Cause of Death query tool.</w:t>
      </w:r>
      <w:r>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ADDIN ZOTERO_ITEM CSL_CITATION {"citationID":"lheOeSp2","properties":{"formattedCitation":"\\super 1\\nosupersub{}","plainCitation":"1","noteIndex":0},"citationItems":[{"id":5521,"uris":["http://zotero.org/groups/5952805/items/CSPPI9H8"],"itemData":{"id":5521,"type":"webpage","container-title":"Centers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Pr>
          <w:rFonts w:ascii="Times New Roman" w:eastAsia="Times New Roman" w:hAnsi="Times New Roman" w:cs="Times New Roman"/>
          <w:color w:val="000000"/>
          <w:kern w:val="0"/>
          <w14:ligatures w14:val="none"/>
        </w:rPr>
        <w:fldChar w:fldCharType="separate"/>
      </w:r>
      <w:r w:rsidRPr="0055472F">
        <w:rPr>
          <w:rFonts w:ascii="Times New Roman" w:hAnsi="Times New Roman" w:cs="Times New Roman"/>
          <w:color w:val="000000"/>
          <w:kern w:val="0"/>
          <w:vertAlign w:val="superscript"/>
        </w:rPr>
        <w:t>1</w:t>
      </w:r>
      <w:r>
        <w:rPr>
          <w:rFonts w:ascii="Times New Roman" w:eastAsia="Times New Roman" w:hAnsi="Times New Roman" w:cs="Times New Roman"/>
          <w:color w:val="000000"/>
          <w:kern w:val="0"/>
          <w14:ligatures w14:val="none"/>
        </w:rPr>
        <w:fldChar w:fldCharType="end"/>
      </w:r>
      <w:r w:rsidRPr="0055472F">
        <w:rPr>
          <w:rFonts w:ascii="Times New Roman" w:eastAsia="Times New Roman" w:hAnsi="Times New Roman" w:cs="Times New Roman"/>
          <w:color w:val="000000"/>
          <w:kern w:val="0"/>
          <w14:ligatures w14:val="none"/>
        </w:rPr>
        <w:t xml:space="preserve"> Osteomyelitis-related deaths were identified using ICD-10 code M86. The following variables were extracted: number of deaths; crude mortality rate (per 100,000 population); and age-adjusted mortality rate</w:t>
      </w:r>
      <w:r w:rsidR="000F25EB">
        <w:rPr>
          <w:rFonts w:ascii="Times New Roman" w:eastAsia="Times New Roman" w:hAnsi="Times New Roman" w:cs="Times New Roman"/>
          <w:color w:val="000000"/>
          <w:kern w:val="0"/>
          <w14:ligatures w14:val="none"/>
        </w:rPr>
        <w:t xml:space="preserve"> (AAMR)</w:t>
      </w:r>
      <w:r w:rsidRPr="0055472F">
        <w:rPr>
          <w:rFonts w:ascii="Times New Roman" w:eastAsia="Times New Roman" w:hAnsi="Times New Roman" w:cs="Times New Roman"/>
          <w:color w:val="000000"/>
          <w:kern w:val="0"/>
          <w14:ligatures w14:val="none"/>
        </w:rPr>
        <w:t>, standardized to the 2000 U.S. standard population. We further stratified the data by: sex (male, female); race/ethnicity (non-Hispanic White, non-Hispanic Black, Hispanic, Asian or Pacific Islander, American Indian/Alaska Native); and age group (&lt;45, 45–64, and ≥65 years). Population denominators were provided by CDC WONDER, based on bridged-race census estimates.</w:t>
      </w:r>
    </w:p>
    <w:p w14:paraId="19BFA0C1" w14:textId="3233CD66"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 xml:space="preserve">Descriptive statistics were used to summarize the burden of osteomyelitis-related mortality. We calculated crude and age-adjusted mortality rates for the overall population and for </w:t>
      </w:r>
      <w:r w:rsidRPr="0055472F">
        <w:rPr>
          <w:rFonts w:ascii="Times New Roman" w:eastAsia="Times New Roman" w:hAnsi="Times New Roman" w:cs="Times New Roman"/>
          <w:color w:val="000000"/>
          <w:kern w:val="0"/>
          <w14:ligatures w14:val="none"/>
        </w:rPr>
        <w:lastRenderedPageBreak/>
        <w:t xml:space="preserve">each demographic subgroup. To assess temporal trends, we plotted annual age-adjusted mortality rates from 1999 to 2020 and conducted linear regression </w:t>
      </w:r>
      <w:r w:rsidR="00977B0C">
        <w:rPr>
          <w:rFonts w:ascii="Times New Roman" w:eastAsia="Times New Roman" w:hAnsi="Times New Roman" w:cs="Times New Roman"/>
          <w:color w:val="000000"/>
          <w:kern w:val="0"/>
          <w14:ligatures w14:val="none"/>
        </w:rPr>
        <w:t xml:space="preserve">while calculating </w:t>
      </w:r>
      <w:r w:rsidR="00BE4597">
        <w:rPr>
          <w:rFonts w:ascii="Times New Roman" w:eastAsia="Times New Roman" w:hAnsi="Times New Roman" w:cs="Times New Roman"/>
          <w:color w:val="000000"/>
          <w:kern w:val="0"/>
          <w14:ligatures w14:val="none"/>
        </w:rPr>
        <w:t>annual percent change (APC)</w:t>
      </w:r>
      <w:r w:rsidRPr="0055472F">
        <w:rPr>
          <w:rFonts w:ascii="Times New Roman" w:eastAsia="Times New Roman" w:hAnsi="Times New Roman" w:cs="Times New Roman"/>
          <w:color w:val="000000"/>
          <w:kern w:val="0"/>
          <w14:ligatures w14:val="none"/>
        </w:rPr>
        <w:t>. We calculated rate differences and rate ratios between demographic groups to identify disparities in osteomyelitis-related mortality. All statistical tests were performed using R (version 4.3.1).</w:t>
      </w:r>
    </w:p>
    <w:p w14:paraId="6786BD57" w14:textId="77777777"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Because this study used publicly available, de-identified data, it was considered not human subjects research and was exempt from institutional review board approval.</w:t>
      </w:r>
    </w:p>
    <w:p w14:paraId="3D74609B" w14:textId="77777777" w:rsidR="0055472F" w:rsidRPr="0055472F" w:rsidRDefault="0055472F" w:rsidP="00676552">
      <w:pPr>
        <w:spacing w:after="0" w:line="480" w:lineRule="auto"/>
        <w:rPr>
          <w:rFonts w:ascii="Times New Roman" w:hAnsi="Times New Roman" w:cs="Times New Roman"/>
          <w:b/>
          <w:bCs/>
        </w:rPr>
      </w:pPr>
    </w:p>
    <w:p w14:paraId="532CA0E7" w14:textId="7BF33CE7" w:rsidR="00676552" w:rsidRPr="0055472F" w:rsidRDefault="00676552" w:rsidP="00676552">
      <w:pPr>
        <w:spacing w:after="0" w:line="480" w:lineRule="auto"/>
        <w:rPr>
          <w:rFonts w:ascii="Times New Roman" w:hAnsi="Times New Roman" w:cs="Times New Roman"/>
        </w:rPr>
      </w:pPr>
      <w:r w:rsidRPr="0055472F">
        <w:rPr>
          <w:rFonts w:ascii="Times New Roman" w:hAnsi="Times New Roman" w:cs="Times New Roman"/>
          <w:b/>
          <w:bCs/>
        </w:rPr>
        <w:t>Results</w:t>
      </w:r>
    </w:p>
    <w:p w14:paraId="0DFAF181" w14:textId="5CCC0AA8" w:rsidR="00676552" w:rsidRDefault="00D208BD" w:rsidP="00676552">
      <w:pPr>
        <w:spacing w:after="0" w:line="480" w:lineRule="auto"/>
        <w:rPr>
          <w:rFonts w:ascii="Times New Roman" w:hAnsi="Times New Roman" w:cs="Times New Roman"/>
        </w:rPr>
      </w:pPr>
      <w:r>
        <w:rPr>
          <w:rFonts w:ascii="Times New Roman" w:hAnsi="Times New Roman" w:cs="Times New Roman"/>
        </w:rPr>
        <w:tab/>
      </w:r>
      <w:r w:rsidR="00925304" w:rsidRPr="00925304">
        <w:rPr>
          <w:rFonts w:ascii="Times New Roman" w:hAnsi="Times New Roman" w:cs="Times New Roman"/>
        </w:rPr>
        <w:t>Throughout the study period from 1999 to 2020, there were 56,806,341 death certificates recorded in the United States, and of these, 85,474 (0.2%) had osteomyelitis listed as a contributing factor. Furthermore, of those death certificates with osteomyelitis listed as a contributing factor, 35,192 (41.2%) had osteomyelitis as the underlying cause. Among all 85,474 death certificates with osteomyelitis listed as any contributing factor, 46,961 (54.9%) corresponded to a male individual and 69,154 (80.9%) to those who were White. The average age at death for the death certificates was 74.7 years.</w:t>
      </w:r>
      <w:r w:rsidR="00925304">
        <w:rPr>
          <w:rFonts w:ascii="Times New Roman" w:hAnsi="Times New Roman" w:cs="Times New Roman"/>
        </w:rPr>
        <w:t xml:space="preserve"> </w:t>
      </w:r>
    </w:p>
    <w:p w14:paraId="4102326A" w14:textId="51A8E64A" w:rsidR="00AE6CBF" w:rsidRDefault="00925304" w:rsidP="00676552">
      <w:pPr>
        <w:spacing w:after="0" w:line="480" w:lineRule="auto"/>
        <w:rPr>
          <w:rFonts w:ascii="Times New Roman" w:hAnsi="Times New Roman" w:cs="Times New Roman"/>
        </w:rPr>
      </w:pPr>
      <w:r>
        <w:rPr>
          <w:rFonts w:ascii="Times New Roman" w:hAnsi="Times New Roman" w:cs="Times New Roman"/>
        </w:rPr>
        <w:tab/>
      </w:r>
      <w:r w:rsidR="000F25EB">
        <w:rPr>
          <w:rFonts w:ascii="Times New Roman" w:hAnsi="Times New Roman" w:cs="Times New Roman"/>
        </w:rPr>
        <w:t xml:space="preserve">The </w:t>
      </w:r>
      <w:r w:rsidR="00C7285D">
        <w:rPr>
          <w:rFonts w:ascii="Times New Roman" w:hAnsi="Times New Roman" w:cs="Times New Roman"/>
        </w:rPr>
        <w:t xml:space="preserve">AAMR </w:t>
      </w:r>
      <w:r w:rsidR="00393529">
        <w:rPr>
          <w:rFonts w:ascii="Times New Roman" w:hAnsi="Times New Roman" w:cs="Times New Roman"/>
        </w:rPr>
        <w:t xml:space="preserve">for osteomyelitis </w:t>
      </w:r>
      <w:r w:rsidR="00DC1D1C">
        <w:rPr>
          <w:rFonts w:ascii="Times New Roman" w:hAnsi="Times New Roman" w:cs="Times New Roman"/>
        </w:rPr>
        <w:t>as a contributing cause of death</w:t>
      </w:r>
      <w:r w:rsidR="00393529">
        <w:rPr>
          <w:rFonts w:ascii="Times New Roman" w:hAnsi="Times New Roman" w:cs="Times New Roman"/>
        </w:rPr>
        <w:t xml:space="preserve"> rose from </w:t>
      </w:r>
      <w:r w:rsidR="004F3DFD">
        <w:rPr>
          <w:rFonts w:ascii="Times New Roman" w:hAnsi="Times New Roman" w:cs="Times New Roman"/>
        </w:rPr>
        <w:t>0.88 (95% Confidence Interval [95% CI]</w:t>
      </w:r>
      <w:r w:rsidR="004A0CD5">
        <w:rPr>
          <w:rFonts w:ascii="Times New Roman" w:hAnsi="Times New Roman" w:cs="Times New Roman"/>
        </w:rPr>
        <w:t xml:space="preserve">: 0.85 – 0.92) </w:t>
      </w:r>
      <w:r w:rsidR="003D6773">
        <w:rPr>
          <w:rFonts w:ascii="Times New Roman" w:hAnsi="Times New Roman" w:cs="Times New Roman"/>
        </w:rPr>
        <w:t xml:space="preserve">per 100,000 in 1999 </w:t>
      </w:r>
      <w:r w:rsidR="002A08C0">
        <w:rPr>
          <w:rFonts w:ascii="Times New Roman" w:hAnsi="Times New Roman" w:cs="Times New Roman"/>
        </w:rPr>
        <w:t xml:space="preserve">to </w:t>
      </w:r>
      <w:r w:rsidR="003D6773">
        <w:rPr>
          <w:rFonts w:ascii="Times New Roman" w:hAnsi="Times New Roman" w:cs="Times New Roman"/>
        </w:rPr>
        <w:t xml:space="preserve">1.81 </w:t>
      </w:r>
      <w:r w:rsidR="00A65090">
        <w:rPr>
          <w:rFonts w:ascii="Times New Roman" w:hAnsi="Times New Roman" w:cs="Times New Roman"/>
        </w:rPr>
        <w:t>(95% CI: 1.76 – 1.85) per 100,000 in 2020</w:t>
      </w:r>
      <w:r w:rsidR="00977B0C">
        <w:rPr>
          <w:rFonts w:ascii="Times New Roman" w:hAnsi="Times New Roman" w:cs="Times New Roman"/>
        </w:rPr>
        <w:t xml:space="preserve">, resulting in an </w:t>
      </w:r>
      <w:r w:rsidR="00B06DCB">
        <w:rPr>
          <w:rFonts w:ascii="Times New Roman" w:hAnsi="Times New Roman" w:cs="Times New Roman"/>
        </w:rPr>
        <w:t xml:space="preserve">APC of </w:t>
      </w:r>
      <w:r w:rsidR="00073766">
        <w:rPr>
          <w:rFonts w:ascii="Times New Roman" w:hAnsi="Times New Roman" w:cs="Times New Roman"/>
        </w:rPr>
        <w:t>2.57% (p &lt; 0.01)</w:t>
      </w:r>
      <w:r w:rsidR="00AC3C48">
        <w:rPr>
          <w:rFonts w:ascii="Times New Roman" w:hAnsi="Times New Roman" w:cs="Times New Roman"/>
        </w:rPr>
        <w:t xml:space="preserve"> (</w:t>
      </w:r>
      <w:r w:rsidR="00AC3C48">
        <w:rPr>
          <w:rFonts w:ascii="Times New Roman" w:hAnsi="Times New Roman" w:cs="Times New Roman"/>
          <w:b/>
          <w:bCs/>
        </w:rPr>
        <w:t>Figure 1</w:t>
      </w:r>
      <w:r w:rsidR="00AC3C48">
        <w:rPr>
          <w:rFonts w:ascii="Times New Roman" w:hAnsi="Times New Roman" w:cs="Times New Roman"/>
        </w:rPr>
        <w:t xml:space="preserve">). </w:t>
      </w:r>
      <w:r w:rsidR="00AE6CBF">
        <w:rPr>
          <w:rFonts w:ascii="Times New Roman" w:hAnsi="Times New Roman" w:cs="Times New Roman"/>
        </w:rPr>
        <w:t>Male and female persons showed differences in</w:t>
      </w:r>
      <w:r w:rsidR="009D6986">
        <w:rPr>
          <w:rFonts w:ascii="Times New Roman" w:hAnsi="Times New Roman" w:cs="Times New Roman"/>
        </w:rPr>
        <w:t xml:space="preserve"> how their </w:t>
      </w:r>
      <w:r w:rsidR="00932B52">
        <w:rPr>
          <w:rFonts w:ascii="Times New Roman" w:hAnsi="Times New Roman" w:cs="Times New Roman"/>
        </w:rPr>
        <w:t>AAMRs changed over the study period</w:t>
      </w:r>
      <w:r w:rsidR="008961B7">
        <w:rPr>
          <w:rFonts w:ascii="Times New Roman" w:hAnsi="Times New Roman" w:cs="Times New Roman"/>
        </w:rPr>
        <w:t xml:space="preserve"> (</w:t>
      </w:r>
      <w:r w:rsidR="008E1450">
        <w:rPr>
          <w:rFonts w:ascii="Times New Roman" w:hAnsi="Times New Roman" w:cs="Times New Roman"/>
          <w:b/>
          <w:bCs/>
        </w:rPr>
        <w:t>Figure 2</w:t>
      </w:r>
      <w:r w:rsidR="008E1450">
        <w:rPr>
          <w:rFonts w:ascii="Times New Roman" w:hAnsi="Times New Roman" w:cs="Times New Roman"/>
        </w:rPr>
        <w:t>).</w:t>
      </w:r>
      <w:r w:rsidR="000B6AB9">
        <w:rPr>
          <w:rFonts w:ascii="Times New Roman" w:hAnsi="Times New Roman" w:cs="Times New Roman"/>
        </w:rPr>
        <w:t xml:space="preserve"> </w:t>
      </w:r>
      <w:r w:rsidR="00813BF0">
        <w:rPr>
          <w:rFonts w:ascii="Times New Roman" w:hAnsi="Times New Roman" w:cs="Times New Roman"/>
        </w:rPr>
        <w:t xml:space="preserve">For male persons, </w:t>
      </w:r>
      <w:r w:rsidR="00AA1B71">
        <w:rPr>
          <w:rFonts w:ascii="Times New Roman" w:hAnsi="Times New Roman" w:cs="Times New Roman"/>
        </w:rPr>
        <w:t>AAMR</w:t>
      </w:r>
      <w:r w:rsidR="001B7F52">
        <w:rPr>
          <w:rFonts w:ascii="Times New Roman" w:hAnsi="Times New Roman" w:cs="Times New Roman"/>
        </w:rPr>
        <w:t xml:space="preserve">s rose from </w:t>
      </w:r>
      <w:r w:rsidR="00D71DFD">
        <w:rPr>
          <w:rFonts w:ascii="Times New Roman" w:hAnsi="Times New Roman" w:cs="Times New Roman"/>
        </w:rPr>
        <w:t xml:space="preserve">1.07 (95% CI: 1 – 1.13) </w:t>
      </w:r>
      <w:r w:rsidR="009C1E46">
        <w:rPr>
          <w:rFonts w:ascii="Times New Roman" w:hAnsi="Times New Roman" w:cs="Times New Roman"/>
        </w:rPr>
        <w:t xml:space="preserve">per 100,000 in 1999 to </w:t>
      </w:r>
      <w:r w:rsidR="008B41E2">
        <w:rPr>
          <w:rFonts w:ascii="Times New Roman" w:hAnsi="Times New Roman" w:cs="Times New Roman"/>
        </w:rPr>
        <w:t xml:space="preserve">2.47 (95% CI: </w:t>
      </w:r>
      <w:r w:rsidR="008A727D">
        <w:rPr>
          <w:rFonts w:ascii="Times New Roman" w:hAnsi="Times New Roman" w:cs="Times New Roman"/>
        </w:rPr>
        <w:t>2.39 – 2.54) per 100,000</w:t>
      </w:r>
      <w:r w:rsidR="008A1C92">
        <w:rPr>
          <w:rFonts w:ascii="Times New Roman" w:hAnsi="Times New Roman" w:cs="Times New Roman"/>
        </w:rPr>
        <w:t xml:space="preserve">, resulting in </w:t>
      </w:r>
      <w:r w:rsidR="00DC740D">
        <w:rPr>
          <w:rFonts w:ascii="Times New Roman" w:hAnsi="Times New Roman" w:cs="Times New Roman"/>
        </w:rPr>
        <w:t xml:space="preserve">an APC of </w:t>
      </w:r>
      <w:r w:rsidR="00B64DC7">
        <w:rPr>
          <w:rFonts w:ascii="Times New Roman" w:hAnsi="Times New Roman" w:cs="Times New Roman"/>
        </w:rPr>
        <w:t>3.1% (p &lt; 0.01).</w:t>
      </w:r>
      <w:r w:rsidR="00316DBB">
        <w:rPr>
          <w:rFonts w:ascii="Times New Roman" w:hAnsi="Times New Roman" w:cs="Times New Roman"/>
        </w:rPr>
        <w:t xml:space="preserve"> In female persons, </w:t>
      </w:r>
      <w:r w:rsidR="004B5A51">
        <w:rPr>
          <w:rFonts w:ascii="Times New Roman" w:hAnsi="Times New Roman" w:cs="Times New Roman"/>
        </w:rPr>
        <w:t xml:space="preserve">AAMRs rose from </w:t>
      </w:r>
      <w:r w:rsidR="00533EFF">
        <w:rPr>
          <w:rFonts w:ascii="Times New Roman" w:hAnsi="Times New Roman" w:cs="Times New Roman"/>
        </w:rPr>
        <w:t xml:space="preserve">0.77 (95% CI: 0.72 – 0.81) per 100,000 in 1999 to </w:t>
      </w:r>
      <w:r w:rsidR="00EA6329">
        <w:rPr>
          <w:rFonts w:ascii="Times New Roman" w:hAnsi="Times New Roman" w:cs="Times New Roman"/>
        </w:rPr>
        <w:t>1.27 (</w:t>
      </w:r>
      <w:r w:rsidR="000537CE">
        <w:rPr>
          <w:rFonts w:ascii="Times New Roman" w:hAnsi="Times New Roman" w:cs="Times New Roman"/>
        </w:rPr>
        <w:t xml:space="preserve">95% CI: </w:t>
      </w:r>
      <w:r w:rsidR="001B6DC0">
        <w:rPr>
          <w:rFonts w:ascii="Times New Roman" w:hAnsi="Times New Roman" w:cs="Times New Roman"/>
        </w:rPr>
        <w:t>1.22 – 1.32</w:t>
      </w:r>
      <w:r w:rsidR="00120961">
        <w:rPr>
          <w:rFonts w:ascii="Times New Roman" w:hAnsi="Times New Roman" w:cs="Times New Roman"/>
        </w:rPr>
        <w:t xml:space="preserve">), leading </w:t>
      </w:r>
      <w:r w:rsidR="00120961">
        <w:rPr>
          <w:rFonts w:ascii="Times New Roman" w:hAnsi="Times New Roman" w:cs="Times New Roman"/>
        </w:rPr>
        <w:lastRenderedPageBreak/>
        <w:t xml:space="preserve">to an APC of </w:t>
      </w:r>
      <w:r w:rsidR="0035603E">
        <w:rPr>
          <w:rFonts w:ascii="Times New Roman" w:hAnsi="Times New Roman" w:cs="Times New Roman"/>
        </w:rPr>
        <w:t xml:space="preserve">1.47% (p &lt; 0.01). </w:t>
      </w:r>
      <w:r w:rsidR="00616648">
        <w:rPr>
          <w:rFonts w:ascii="Times New Roman" w:hAnsi="Times New Roman" w:cs="Times New Roman"/>
        </w:rPr>
        <w:t>Racial groups also showed differences in their trends in AAMR over the study period (</w:t>
      </w:r>
      <w:r w:rsidR="00616648">
        <w:rPr>
          <w:rFonts w:ascii="Times New Roman" w:hAnsi="Times New Roman" w:cs="Times New Roman"/>
          <w:b/>
          <w:bCs/>
        </w:rPr>
        <w:t>Figure 3</w:t>
      </w:r>
      <w:r w:rsidR="00616648">
        <w:rPr>
          <w:rFonts w:ascii="Times New Roman" w:hAnsi="Times New Roman" w:cs="Times New Roman"/>
        </w:rPr>
        <w:t xml:space="preserve">). </w:t>
      </w:r>
      <w:r w:rsidR="00296DB0">
        <w:rPr>
          <w:rFonts w:ascii="Times New Roman" w:hAnsi="Times New Roman" w:cs="Times New Roman"/>
        </w:rPr>
        <w:t xml:space="preserve">Native American </w:t>
      </w:r>
      <w:r w:rsidR="005F2061">
        <w:rPr>
          <w:rFonts w:ascii="Times New Roman" w:hAnsi="Times New Roman" w:cs="Times New Roman"/>
        </w:rPr>
        <w:t xml:space="preserve">persons </w:t>
      </w:r>
      <w:r w:rsidR="0076404A">
        <w:rPr>
          <w:rFonts w:ascii="Times New Roman" w:hAnsi="Times New Roman" w:cs="Times New Roman"/>
        </w:rPr>
        <w:t xml:space="preserve">showed </w:t>
      </w:r>
      <w:r w:rsidR="00116E72">
        <w:rPr>
          <w:rFonts w:ascii="Times New Roman" w:hAnsi="Times New Roman" w:cs="Times New Roman"/>
        </w:rPr>
        <w:t xml:space="preserve">the greatest increase in their AAMRs over the study period, from </w:t>
      </w:r>
      <w:r w:rsidR="00BE1393">
        <w:rPr>
          <w:rFonts w:ascii="Times New Roman" w:hAnsi="Times New Roman" w:cs="Times New Roman"/>
        </w:rPr>
        <w:t>1.62 (</w:t>
      </w:r>
      <w:r w:rsidR="00E34C4D">
        <w:rPr>
          <w:rFonts w:ascii="Times New Roman" w:hAnsi="Times New Roman" w:cs="Times New Roman"/>
        </w:rPr>
        <w:t xml:space="preserve">95% CI: </w:t>
      </w:r>
      <w:r w:rsidR="00CF65FF">
        <w:rPr>
          <w:rFonts w:ascii="Times New Roman" w:hAnsi="Times New Roman" w:cs="Times New Roman"/>
        </w:rPr>
        <w:t>1 – 2.47) per 100,000</w:t>
      </w:r>
      <w:r w:rsidR="00FD1A72">
        <w:rPr>
          <w:rFonts w:ascii="Times New Roman" w:hAnsi="Times New Roman" w:cs="Times New Roman"/>
        </w:rPr>
        <w:t xml:space="preserve"> </w:t>
      </w:r>
      <w:r w:rsidR="00C7371E">
        <w:rPr>
          <w:rFonts w:ascii="Times New Roman" w:hAnsi="Times New Roman" w:cs="Times New Roman"/>
        </w:rPr>
        <w:t xml:space="preserve">in </w:t>
      </w:r>
      <w:r w:rsidR="00F62880">
        <w:rPr>
          <w:rFonts w:ascii="Times New Roman" w:hAnsi="Times New Roman" w:cs="Times New Roman"/>
        </w:rPr>
        <w:t xml:space="preserve">2003, when </w:t>
      </w:r>
      <w:r w:rsidR="00582A1D">
        <w:rPr>
          <w:rFonts w:ascii="Times New Roman" w:hAnsi="Times New Roman" w:cs="Times New Roman"/>
        </w:rPr>
        <w:t>estimates were first reliable</w:t>
      </w:r>
      <w:r w:rsidR="00F52261">
        <w:rPr>
          <w:rFonts w:ascii="Times New Roman" w:hAnsi="Times New Roman" w:cs="Times New Roman"/>
        </w:rPr>
        <w:t xml:space="preserve">, to </w:t>
      </w:r>
      <w:r w:rsidR="00D04AF8">
        <w:rPr>
          <w:rFonts w:ascii="Times New Roman" w:hAnsi="Times New Roman" w:cs="Times New Roman"/>
        </w:rPr>
        <w:t xml:space="preserve">2.53 </w:t>
      </w:r>
      <w:r w:rsidR="00452FE1">
        <w:rPr>
          <w:rFonts w:ascii="Times New Roman" w:hAnsi="Times New Roman" w:cs="Times New Roman"/>
        </w:rPr>
        <w:t xml:space="preserve">(95% CI: </w:t>
      </w:r>
      <w:r w:rsidR="00517531">
        <w:rPr>
          <w:rFonts w:ascii="Times New Roman" w:hAnsi="Times New Roman" w:cs="Times New Roman"/>
        </w:rPr>
        <w:t xml:space="preserve">2.02 – 3.05) per 100,000 in </w:t>
      </w:r>
      <w:r w:rsidR="00221002">
        <w:rPr>
          <w:rFonts w:ascii="Times New Roman" w:hAnsi="Times New Roman" w:cs="Times New Roman"/>
        </w:rPr>
        <w:t>2020</w:t>
      </w:r>
      <w:r w:rsidR="00C7592E">
        <w:rPr>
          <w:rFonts w:ascii="Times New Roman" w:hAnsi="Times New Roman" w:cs="Times New Roman"/>
        </w:rPr>
        <w:t xml:space="preserve">, </w:t>
      </w:r>
      <w:r w:rsidR="0071171A">
        <w:rPr>
          <w:rFonts w:ascii="Times New Roman" w:hAnsi="Times New Roman" w:cs="Times New Roman"/>
        </w:rPr>
        <w:t xml:space="preserve">resulting in an APC of </w:t>
      </w:r>
      <w:r w:rsidR="0027192C">
        <w:rPr>
          <w:rFonts w:ascii="Times New Roman" w:hAnsi="Times New Roman" w:cs="Times New Roman"/>
        </w:rPr>
        <w:t>3.26%.</w:t>
      </w:r>
      <w:r w:rsidR="0064402F">
        <w:rPr>
          <w:rFonts w:ascii="Times New Roman" w:hAnsi="Times New Roman" w:cs="Times New Roman"/>
        </w:rPr>
        <w:t xml:space="preserve"> They were followed by White persons with an APC of </w:t>
      </w:r>
      <w:r w:rsidR="00BE33DB">
        <w:rPr>
          <w:rFonts w:ascii="Times New Roman" w:hAnsi="Times New Roman" w:cs="Times New Roman"/>
        </w:rPr>
        <w:t>2.58% (</w:t>
      </w:r>
      <w:r w:rsidR="004006CA">
        <w:rPr>
          <w:rFonts w:ascii="Times New Roman" w:hAnsi="Times New Roman" w:cs="Times New Roman"/>
        </w:rPr>
        <w:t xml:space="preserve">0.81 [95% CI: 0.77 – 0.84] per 100,000 in </w:t>
      </w:r>
      <w:r w:rsidR="002A4DEF">
        <w:rPr>
          <w:rFonts w:ascii="Times New Roman" w:hAnsi="Times New Roman" w:cs="Times New Roman"/>
        </w:rPr>
        <w:t xml:space="preserve">1999 to </w:t>
      </w:r>
      <w:r w:rsidR="00CE3AD9">
        <w:rPr>
          <w:rFonts w:ascii="Times New Roman" w:hAnsi="Times New Roman" w:cs="Times New Roman"/>
        </w:rPr>
        <w:t>1.69</w:t>
      </w:r>
      <w:r w:rsidR="00B95B6C">
        <w:rPr>
          <w:rFonts w:ascii="Times New Roman" w:hAnsi="Times New Roman" w:cs="Times New Roman"/>
        </w:rPr>
        <w:t xml:space="preserve"> [95% CI: </w:t>
      </w:r>
      <w:r w:rsidR="008E245E">
        <w:rPr>
          <w:rFonts w:ascii="Times New Roman" w:hAnsi="Times New Roman" w:cs="Times New Roman"/>
        </w:rPr>
        <w:t>1.65 – 1.73] per 100,000 in 2020</w:t>
      </w:r>
      <w:r w:rsidR="00914A1C">
        <w:rPr>
          <w:rFonts w:ascii="Times New Roman" w:hAnsi="Times New Roman" w:cs="Times New Roman"/>
        </w:rPr>
        <w:t xml:space="preserve">; </w:t>
      </w:r>
      <w:r w:rsidR="00E9190B">
        <w:rPr>
          <w:rFonts w:ascii="Times New Roman" w:hAnsi="Times New Roman" w:cs="Times New Roman"/>
        </w:rPr>
        <w:t>p &lt; 0.01</w:t>
      </w:r>
      <w:r w:rsidR="007F7092">
        <w:rPr>
          <w:rFonts w:ascii="Times New Roman" w:hAnsi="Times New Roman" w:cs="Times New Roman"/>
        </w:rPr>
        <w:t>)</w:t>
      </w:r>
      <w:r w:rsidR="00392FC4">
        <w:rPr>
          <w:rFonts w:ascii="Times New Roman" w:hAnsi="Times New Roman" w:cs="Times New Roman"/>
        </w:rPr>
        <w:t xml:space="preserve">, </w:t>
      </w:r>
      <w:r w:rsidR="00E9190B">
        <w:rPr>
          <w:rFonts w:ascii="Times New Roman" w:hAnsi="Times New Roman" w:cs="Times New Roman"/>
        </w:rPr>
        <w:t xml:space="preserve">and Black persons </w:t>
      </w:r>
      <w:r w:rsidR="009729D3">
        <w:rPr>
          <w:rFonts w:ascii="Times New Roman" w:hAnsi="Times New Roman" w:cs="Times New Roman"/>
        </w:rPr>
        <w:t xml:space="preserve">with an APC of </w:t>
      </w:r>
      <w:r w:rsidR="006A6631">
        <w:rPr>
          <w:rFonts w:ascii="Times New Roman" w:hAnsi="Times New Roman" w:cs="Times New Roman"/>
        </w:rPr>
        <w:t xml:space="preserve">1.35% </w:t>
      </w:r>
      <w:r w:rsidR="00071B24">
        <w:rPr>
          <w:rFonts w:ascii="Times New Roman" w:hAnsi="Times New Roman" w:cs="Times New Roman"/>
        </w:rPr>
        <w:t>(</w:t>
      </w:r>
      <w:r w:rsidR="00850FED">
        <w:rPr>
          <w:rFonts w:ascii="Times New Roman" w:hAnsi="Times New Roman" w:cs="Times New Roman"/>
        </w:rPr>
        <w:t>1.77 [</w:t>
      </w:r>
      <w:r w:rsidR="00461666">
        <w:rPr>
          <w:rFonts w:ascii="Times New Roman" w:hAnsi="Times New Roman" w:cs="Times New Roman"/>
        </w:rPr>
        <w:t xml:space="preserve">95% CI: </w:t>
      </w:r>
      <w:r w:rsidR="00352F7E">
        <w:rPr>
          <w:rFonts w:ascii="Times New Roman" w:hAnsi="Times New Roman" w:cs="Times New Roman"/>
        </w:rPr>
        <w:t xml:space="preserve">1.6 – 1.95] per 100,000 in 1999 to </w:t>
      </w:r>
      <w:r w:rsidR="00A61BBC">
        <w:rPr>
          <w:rFonts w:ascii="Times New Roman" w:hAnsi="Times New Roman" w:cs="Times New Roman"/>
        </w:rPr>
        <w:t>3.15 [</w:t>
      </w:r>
      <w:r w:rsidR="00F32160">
        <w:rPr>
          <w:rFonts w:ascii="Times New Roman" w:hAnsi="Times New Roman" w:cs="Times New Roman"/>
        </w:rPr>
        <w:t xml:space="preserve">95% CI: </w:t>
      </w:r>
      <w:r w:rsidR="000278ED">
        <w:rPr>
          <w:rFonts w:ascii="Times New Roman" w:hAnsi="Times New Roman" w:cs="Times New Roman"/>
        </w:rPr>
        <w:t xml:space="preserve">2.98 – 3.33] per 100,000 in 2020; p &lt; 0.01). </w:t>
      </w:r>
      <w:r w:rsidR="00640E0A">
        <w:rPr>
          <w:rFonts w:ascii="Times New Roman" w:hAnsi="Times New Roman" w:cs="Times New Roman"/>
        </w:rPr>
        <w:t xml:space="preserve">Asian persons demonstrated no significant change in their mortality rates over the study period. </w:t>
      </w:r>
    </w:p>
    <w:p w14:paraId="031F4B71" w14:textId="1F0FB793" w:rsidR="00D03BBB" w:rsidRPr="00616648" w:rsidRDefault="00F06E08" w:rsidP="00676552">
      <w:pPr>
        <w:spacing w:after="0" w:line="480" w:lineRule="auto"/>
        <w:rPr>
          <w:rFonts w:ascii="Times New Roman" w:hAnsi="Times New Roman" w:cs="Times New Roman"/>
        </w:rPr>
      </w:pPr>
      <w:r>
        <w:rPr>
          <w:rFonts w:ascii="Times New Roman" w:hAnsi="Times New Roman" w:cs="Times New Roman"/>
        </w:rPr>
        <w:tab/>
      </w:r>
      <w:r w:rsidR="00060D50">
        <w:rPr>
          <w:rFonts w:ascii="Times New Roman" w:eastAsia="Times New Roman" w:hAnsi="Times New Roman" w:cs="Times New Roman"/>
        </w:rPr>
        <w:t>Overall, male persons demonstrated significantly higher AAMRs than female persons (1.52 per 100,000 vs. 0.88 per 100,000) and Black persons had significantly higher AAMRs (2.08 per 100,000) than Native American (1.61 per 100,000), White (1.09 per 100,000), and Asian persons (0.46 per 100,000) (</w:t>
      </w:r>
      <w:r w:rsidR="00060D50" w:rsidRPr="00BE1416">
        <w:rPr>
          <w:rFonts w:ascii="Times New Roman" w:eastAsia="Times New Roman" w:hAnsi="Times New Roman" w:cs="Times New Roman"/>
          <w:b/>
          <w:bCs/>
        </w:rPr>
        <w:t>Figure 4</w:t>
      </w:r>
      <w:r w:rsidR="00060D50">
        <w:rPr>
          <w:rFonts w:ascii="Times New Roman" w:eastAsia="Times New Roman" w:hAnsi="Times New Roman" w:cs="Times New Roman"/>
        </w:rPr>
        <w:t xml:space="preserve">). </w:t>
      </w:r>
    </w:p>
    <w:p w14:paraId="581011EB" w14:textId="77777777" w:rsidR="00AE6CBF" w:rsidRDefault="00AE6CBF" w:rsidP="00676552">
      <w:pPr>
        <w:spacing w:after="0" w:line="480" w:lineRule="auto"/>
        <w:rPr>
          <w:rFonts w:ascii="Times New Roman" w:hAnsi="Times New Roman" w:cs="Times New Roman"/>
        </w:rPr>
      </w:pPr>
    </w:p>
    <w:p w14:paraId="49A1DCF9" w14:textId="51500AE9" w:rsidR="00676552" w:rsidRDefault="00676552" w:rsidP="00676552">
      <w:pPr>
        <w:spacing w:after="0" w:line="480" w:lineRule="auto"/>
        <w:rPr>
          <w:rFonts w:ascii="Times New Roman" w:hAnsi="Times New Roman" w:cs="Times New Roman"/>
          <w:b/>
          <w:bCs/>
        </w:rPr>
      </w:pPr>
      <w:r w:rsidRPr="0055472F">
        <w:rPr>
          <w:rFonts w:ascii="Times New Roman" w:hAnsi="Times New Roman" w:cs="Times New Roman"/>
          <w:b/>
          <w:bCs/>
        </w:rPr>
        <w:t>Discussion</w:t>
      </w:r>
    </w:p>
    <w:p w14:paraId="1A1FD1BC" w14:textId="51BDC61A" w:rsidR="00AA2FF5" w:rsidRDefault="00AA2FF5">
      <w:pPr>
        <w:rPr>
          <w:rFonts w:ascii="Times New Roman" w:hAnsi="Times New Roman" w:cs="Times New Roman"/>
        </w:rPr>
      </w:pPr>
      <w:r>
        <w:rPr>
          <w:rFonts w:ascii="Times New Roman" w:hAnsi="Times New Roman" w:cs="Times New Roman"/>
        </w:rPr>
        <w:br w:type="page"/>
      </w:r>
    </w:p>
    <w:p w14:paraId="7865C51C" w14:textId="5103E5A7" w:rsidR="00AA2FF5" w:rsidRDefault="00AA2FF5" w:rsidP="00676552">
      <w:pPr>
        <w:spacing w:after="0" w:line="480" w:lineRule="auto"/>
        <w:rPr>
          <w:rFonts w:ascii="Times New Roman" w:hAnsi="Times New Roman" w:cs="Times New Roman"/>
        </w:rPr>
      </w:pPr>
      <w:r>
        <w:rPr>
          <w:rFonts w:ascii="Times New Roman" w:hAnsi="Times New Roman" w:cs="Times New Roman"/>
          <w:b/>
          <w:bCs/>
        </w:rPr>
        <w:lastRenderedPageBreak/>
        <w:t>References</w:t>
      </w:r>
    </w:p>
    <w:p w14:paraId="7A79C51F" w14:textId="77777777" w:rsidR="00724F3D" w:rsidRPr="00724F3D" w:rsidRDefault="00724F3D" w:rsidP="00724F3D">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Pr="00724F3D">
        <w:rPr>
          <w:rFonts w:ascii="Times New Roman" w:hAnsi="Times New Roman" w:cs="Times New Roman"/>
        </w:rPr>
        <w:t>1.</w:t>
      </w:r>
      <w:r w:rsidRPr="00724F3D">
        <w:rPr>
          <w:rFonts w:ascii="Times New Roman" w:hAnsi="Times New Roman" w:cs="Times New Roman"/>
        </w:rPr>
        <w:tab/>
        <w:t>Centers for Disease Control and Prevention. CDC WONDER. Centers for Disease Control and Prevention. April 8, 2025. Accessed April 15, 2025. https://wonder.cdc.gov/</w:t>
      </w:r>
    </w:p>
    <w:p w14:paraId="2C8C224F" w14:textId="77777777" w:rsidR="00724F3D" w:rsidRPr="00724F3D" w:rsidRDefault="00724F3D" w:rsidP="00724F3D">
      <w:pPr>
        <w:pStyle w:val="Bibliography"/>
        <w:rPr>
          <w:rFonts w:ascii="Times New Roman" w:hAnsi="Times New Roman" w:cs="Times New Roman"/>
        </w:rPr>
      </w:pPr>
      <w:r w:rsidRPr="00724F3D">
        <w:rPr>
          <w:rFonts w:ascii="Times New Roman" w:hAnsi="Times New Roman" w:cs="Times New Roman"/>
        </w:rPr>
        <w:t>2.</w:t>
      </w:r>
      <w:r w:rsidRPr="00724F3D">
        <w:rPr>
          <w:rFonts w:ascii="Times New Roman" w:hAnsi="Times New Roman" w:cs="Times New Roman"/>
        </w:rPr>
        <w:tab/>
        <w:t>WONDER Help. CDC WONDER. April 8, 2025. Accessed April 15, 2025. https://wonder.cdc.gov/wonder/help/main.html</w:t>
      </w:r>
    </w:p>
    <w:p w14:paraId="70D1DC69" w14:textId="5CABD3F6" w:rsidR="00FC2F1E" w:rsidRDefault="00724F3D" w:rsidP="00676552">
      <w:pPr>
        <w:spacing w:after="0" w:line="480" w:lineRule="auto"/>
        <w:rPr>
          <w:rFonts w:ascii="Times New Roman" w:hAnsi="Times New Roman" w:cs="Times New Roman"/>
        </w:rPr>
      </w:pPr>
      <w:r>
        <w:rPr>
          <w:rFonts w:ascii="Times New Roman" w:hAnsi="Times New Roman" w:cs="Times New Roman"/>
        </w:rPr>
        <w:fldChar w:fldCharType="end"/>
      </w:r>
    </w:p>
    <w:p w14:paraId="46EF5B22" w14:textId="77777777" w:rsidR="00FC2F1E" w:rsidRDefault="00FC2F1E">
      <w:pPr>
        <w:rPr>
          <w:rFonts w:ascii="Times New Roman" w:hAnsi="Times New Roman" w:cs="Times New Roman"/>
        </w:rPr>
      </w:pPr>
      <w:r>
        <w:rPr>
          <w:rFonts w:ascii="Times New Roman" w:hAnsi="Times New Roman" w:cs="Times New Roman"/>
        </w:rPr>
        <w:br w:type="page"/>
      </w:r>
    </w:p>
    <w:p w14:paraId="311EB9C8" w14:textId="4E74DF1C" w:rsidR="00BE1CD0" w:rsidRDefault="00FC2F1E" w:rsidP="00BE1CD0">
      <w:pPr>
        <w:spacing w:line="480" w:lineRule="auto"/>
        <w:rPr>
          <w:rFonts w:ascii="Times New Roman" w:eastAsia="Times New Roman" w:hAnsi="Times New Roman" w:cs="Times New Roman"/>
          <w:b/>
        </w:rPr>
      </w:pPr>
      <w:r>
        <w:rPr>
          <w:rFonts w:ascii="Times New Roman" w:hAnsi="Times New Roman" w:cs="Times New Roman"/>
          <w:b/>
          <w:bCs/>
        </w:rPr>
        <w:lastRenderedPageBreak/>
        <w:t xml:space="preserve">Figure 1. </w:t>
      </w:r>
      <w:r w:rsidR="00BE1CD0">
        <w:rPr>
          <w:rFonts w:ascii="Times New Roman" w:eastAsia="Times New Roman" w:hAnsi="Times New Roman" w:cs="Times New Roman"/>
          <w:b/>
        </w:rPr>
        <w:t xml:space="preserve">National Trend in Osteomyelitis Mortality, United States 1999-2020. </w:t>
      </w:r>
    </w:p>
    <w:p w14:paraId="02C9EB2D" w14:textId="77777777" w:rsidR="00BE1CD0" w:rsidRDefault="00BE1CD0" w:rsidP="00BE1CD0">
      <w:pPr>
        <w:spacing w:line="480" w:lineRule="auto"/>
        <w:jc w:val="center"/>
        <w:rPr>
          <w:rFonts w:ascii="Times New Roman" w:eastAsia="Times New Roman" w:hAnsi="Times New Roman" w:cs="Times New Roman"/>
          <w:b/>
        </w:rPr>
      </w:pPr>
      <w:r>
        <w:rPr>
          <w:rFonts w:ascii="Times New Roman" w:eastAsia="Times New Roman" w:hAnsi="Times New Roman" w:cs="Times New Roman"/>
          <w:noProof/>
        </w:rPr>
        <w:drawing>
          <wp:inline distT="114300" distB="114300" distL="114300" distR="114300" wp14:anchorId="7037639D" wp14:editId="4FF57E7A">
            <wp:extent cx="5943600" cy="3927837"/>
            <wp:effectExtent l="0" t="0" r="0" b="0"/>
            <wp:docPr id="1" name="image4.png" descr="A graph with a blue line&#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4.png" descr="A graph with a blue line&#10;&#10;AI-generated content may be incorrect."/>
                    <pic:cNvPicPr preferRelativeResize="0"/>
                  </pic:nvPicPr>
                  <pic:blipFill rotWithShape="1">
                    <a:blip r:embed="rId4"/>
                    <a:srcRect t="9832"/>
                    <a:stretch/>
                  </pic:blipFill>
                  <pic:spPr bwMode="auto">
                    <a:xfrm>
                      <a:off x="0" y="0"/>
                      <a:ext cx="5943600" cy="3927837"/>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174FD5B2" w14:textId="77777777" w:rsidR="00BE1CD0" w:rsidRDefault="00BE1CD0" w:rsidP="00BE1CD0">
      <w:pPr>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 xml:space="preserve">Figure 2. Trends in Osteomyelitis Mortality by Sex, United States 1999-2020. </w:t>
      </w:r>
    </w:p>
    <w:p w14:paraId="6CC5D7EB" w14:textId="77777777" w:rsidR="00BE1CD0" w:rsidRDefault="00BE1CD0" w:rsidP="00BE1CD0">
      <w:pPr>
        <w:spacing w:line="480" w:lineRule="auto"/>
        <w:jc w:val="cente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3CBFC0F3" wp14:editId="180200D0">
            <wp:extent cx="5943600" cy="3939412"/>
            <wp:effectExtent l="0" t="0" r="0" b="0"/>
            <wp:docPr id="2" name="image2.png" descr="A graph with lines and dots&#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graph with lines and dots&#10;&#10;AI-generated content may be incorrect."/>
                    <pic:cNvPicPr preferRelativeResize="0"/>
                  </pic:nvPicPr>
                  <pic:blipFill rotWithShape="1">
                    <a:blip r:embed="rId5"/>
                    <a:srcRect t="9566"/>
                    <a:stretch/>
                  </pic:blipFill>
                  <pic:spPr bwMode="auto">
                    <a:xfrm>
                      <a:off x="0" y="0"/>
                      <a:ext cx="5943600" cy="3939412"/>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7CF9436F" w14:textId="77777777" w:rsidR="00BE1CD0" w:rsidRDefault="00BE1CD0" w:rsidP="00BE1CD0">
      <w:pPr>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 xml:space="preserve">Figure 3. Trends in Osteomyelitis Mortality by Race, United States 1999-2020. </w:t>
      </w:r>
    </w:p>
    <w:p w14:paraId="019CFD47" w14:textId="77777777" w:rsidR="00BE1CD0" w:rsidRDefault="00BE1CD0" w:rsidP="00BE1CD0">
      <w:pPr>
        <w:spacing w:line="480" w:lineRule="auto"/>
        <w:rPr>
          <w:rFonts w:ascii="Times New Roman" w:eastAsia="Times New Roman" w:hAnsi="Times New Roman" w:cs="Times New Roman"/>
          <w:b/>
        </w:rPr>
      </w:pPr>
      <w:r>
        <w:rPr>
          <w:rFonts w:ascii="Times New Roman" w:eastAsia="Times New Roman" w:hAnsi="Times New Roman" w:cs="Times New Roman"/>
          <w:noProof/>
        </w:rPr>
        <w:drawing>
          <wp:inline distT="114300" distB="114300" distL="114300" distR="114300" wp14:anchorId="4E517099" wp14:editId="1FE5F405">
            <wp:extent cx="5943600" cy="3927837"/>
            <wp:effectExtent l="0" t="0" r="0" b="0"/>
            <wp:docPr id="3" name="image1.pn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png" descr="A graph of different colored lines&#10;&#10;AI-generated content may be incorrect."/>
                    <pic:cNvPicPr preferRelativeResize="0"/>
                  </pic:nvPicPr>
                  <pic:blipFill rotWithShape="1">
                    <a:blip r:embed="rId6"/>
                    <a:srcRect t="9832"/>
                    <a:stretch/>
                  </pic:blipFill>
                  <pic:spPr bwMode="auto">
                    <a:xfrm>
                      <a:off x="0" y="0"/>
                      <a:ext cx="5943600" cy="3927837"/>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7EAD3B52" w14:textId="77777777" w:rsidR="00BE1CD0" w:rsidRDefault="00BE1CD0" w:rsidP="00BE1CD0">
      <w:pPr>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 xml:space="preserve">Figure 4. Overall Age-Adjusted Mortality Rates by Demographic Group, United States 1999-2020. </w:t>
      </w:r>
    </w:p>
    <w:p w14:paraId="56C9B146" w14:textId="77777777" w:rsidR="00BE1CD0" w:rsidRDefault="00BE1CD0" w:rsidP="00BE1CD0">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4279D53" wp14:editId="53CF3018">
            <wp:extent cx="5943600" cy="3881538"/>
            <wp:effectExtent l="0" t="0" r="0" b="0"/>
            <wp:docPr id="4"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3.png" descr="A screenshot of a computer&#10;&#10;AI-generated content may be incorrect."/>
                    <pic:cNvPicPr preferRelativeResize="0"/>
                  </pic:nvPicPr>
                  <pic:blipFill rotWithShape="1">
                    <a:blip r:embed="rId7"/>
                    <a:srcRect t="10894"/>
                    <a:stretch/>
                  </pic:blipFill>
                  <pic:spPr bwMode="auto">
                    <a:xfrm>
                      <a:off x="0" y="0"/>
                      <a:ext cx="5943600" cy="3881538"/>
                    </a:xfrm>
                    <a:prstGeom prst="rect">
                      <a:avLst/>
                    </a:prstGeom>
                    <a:ln>
                      <a:noFill/>
                    </a:ln>
                    <a:extLst>
                      <a:ext uri="{53640926-AAD7-44D8-BBD7-CCE9431645EC}">
                        <a14:shadowObscured xmlns:a14="http://schemas.microsoft.com/office/drawing/2010/main"/>
                      </a:ext>
                    </a:extLst>
                  </pic:spPr>
                </pic:pic>
              </a:graphicData>
            </a:graphic>
          </wp:inline>
        </w:drawing>
      </w:r>
    </w:p>
    <w:p w14:paraId="12A2B2CF" w14:textId="77777777" w:rsidR="00BE1CD0" w:rsidRDefault="00BE1CD0" w:rsidP="00BE1CD0">
      <w:pPr>
        <w:spacing w:line="480" w:lineRule="auto"/>
        <w:rPr>
          <w:rFonts w:ascii="Times New Roman" w:eastAsia="Times New Roman" w:hAnsi="Times New Roman" w:cs="Times New Roman"/>
        </w:rPr>
      </w:pPr>
    </w:p>
    <w:p w14:paraId="06B263A7" w14:textId="77777777" w:rsidR="00BE1CD0" w:rsidRDefault="00BE1CD0" w:rsidP="00BE1CD0">
      <w:pPr>
        <w:spacing w:line="480" w:lineRule="auto"/>
        <w:rPr>
          <w:rFonts w:ascii="Times New Roman" w:eastAsia="Times New Roman" w:hAnsi="Times New Roman" w:cs="Times New Roman"/>
        </w:rPr>
      </w:pPr>
    </w:p>
    <w:p w14:paraId="04A5B6D8" w14:textId="77777777" w:rsidR="00BE1CD0" w:rsidRDefault="00BE1CD0" w:rsidP="00BE1CD0">
      <w:pPr>
        <w:spacing w:line="480" w:lineRule="auto"/>
        <w:rPr>
          <w:rFonts w:ascii="Times New Roman" w:eastAsia="Times New Roman" w:hAnsi="Times New Roman" w:cs="Times New Roman"/>
        </w:rPr>
      </w:pPr>
    </w:p>
    <w:p w14:paraId="44752226" w14:textId="64642048" w:rsidR="00AA2FF5" w:rsidRPr="00FC2F1E" w:rsidRDefault="00AA2FF5" w:rsidP="00676552">
      <w:pPr>
        <w:spacing w:after="0" w:line="480" w:lineRule="auto"/>
        <w:rPr>
          <w:rFonts w:ascii="Times New Roman" w:hAnsi="Times New Roman" w:cs="Times New Roman"/>
          <w:b/>
          <w:bCs/>
        </w:rPr>
      </w:pPr>
    </w:p>
    <w:sectPr w:rsidR="00AA2FF5" w:rsidRPr="00FC2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DF3"/>
    <w:rsid w:val="00012EEF"/>
    <w:rsid w:val="00016C80"/>
    <w:rsid w:val="00025EF0"/>
    <w:rsid w:val="000278ED"/>
    <w:rsid w:val="000326E8"/>
    <w:rsid w:val="00036939"/>
    <w:rsid w:val="00043CC1"/>
    <w:rsid w:val="00046ABF"/>
    <w:rsid w:val="00051BA0"/>
    <w:rsid w:val="000537CE"/>
    <w:rsid w:val="00060D50"/>
    <w:rsid w:val="0006741C"/>
    <w:rsid w:val="00071B24"/>
    <w:rsid w:val="00073766"/>
    <w:rsid w:val="000A1DB4"/>
    <w:rsid w:val="000A3C37"/>
    <w:rsid w:val="000A4561"/>
    <w:rsid w:val="000B1B3C"/>
    <w:rsid w:val="000B26F9"/>
    <w:rsid w:val="000B6AB9"/>
    <w:rsid w:val="000B7074"/>
    <w:rsid w:val="000C5DF8"/>
    <w:rsid w:val="000E7173"/>
    <w:rsid w:val="000F0546"/>
    <w:rsid w:val="000F25EB"/>
    <w:rsid w:val="000F26E2"/>
    <w:rsid w:val="001011D9"/>
    <w:rsid w:val="00111152"/>
    <w:rsid w:val="00116699"/>
    <w:rsid w:val="00116E72"/>
    <w:rsid w:val="00120961"/>
    <w:rsid w:val="001308A1"/>
    <w:rsid w:val="00132547"/>
    <w:rsid w:val="0014246D"/>
    <w:rsid w:val="00142CD2"/>
    <w:rsid w:val="0014775E"/>
    <w:rsid w:val="00155211"/>
    <w:rsid w:val="00155D35"/>
    <w:rsid w:val="001A038A"/>
    <w:rsid w:val="001A36A0"/>
    <w:rsid w:val="001B6DC0"/>
    <w:rsid w:val="001B7F52"/>
    <w:rsid w:val="001D0039"/>
    <w:rsid w:val="001D7584"/>
    <w:rsid w:val="001E1FD7"/>
    <w:rsid w:val="001E5D59"/>
    <w:rsid w:val="001F7111"/>
    <w:rsid w:val="00221002"/>
    <w:rsid w:val="00232142"/>
    <w:rsid w:val="002362B2"/>
    <w:rsid w:val="00236D28"/>
    <w:rsid w:val="002511F7"/>
    <w:rsid w:val="00265AED"/>
    <w:rsid w:val="002677CA"/>
    <w:rsid w:val="0027192C"/>
    <w:rsid w:val="00274C29"/>
    <w:rsid w:val="00296DB0"/>
    <w:rsid w:val="002A08C0"/>
    <w:rsid w:val="002A4807"/>
    <w:rsid w:val="002A4DEF"/>
    <w:rsid w:val="002C02D6"/>
    <w:rsid w:val="002C40DC"/>
    <w:rsid w:val="002D2B64"/>
    <w:rsid w:val="002E2198"/>
    <w:rsid w:val="00305649"/>
    <w:rsid w:val="003056D5"/>
    <w:rsid w:val="00316DBB"/>
    <w:rsid w:val="00327133"/>
    <w:rsid w:val="0034574E"/>
    <w:rsid w:val="00352F7E"/>
    <w:rsid w:val="0035603E"/>
    <w:rsid w:val="003571F7"/>
    <w:rsid w:val="003612F0"/>
    <w:rsid w:val="00384CEF"/>
    <w:rsid w:val="00392FC4"/>
    <w:rsid w:val="00393529"/>
    <w:rsid w:val="00395412"/>
    <w:rsid w:val="003A07C8"/>
    <w:rsid w:val="003A5444"/>
    <w:rsid w:val="003A717C"/>
    <w:rsid w:val="003C43C7"/>
    <w:rsid w:val="003D26B8"/>
    <w:rsid w:val="003D6773"/>
    <w:rsid w:val="003D7DFA"/>
    <w:rsid w:val="003E08B3"/>
    <w:rsid w:val="003E7CFE"/>
    <w:rsid w:val="003F0066"/>
    <w:rsid w:val="004006CA"/>
    <w:rsid w:val="0040394E"/>
    <w:rsid w:val="004066E2"/>
    <w:rsid w:val="00416099"/>
    <w:rsid w:val="00423FDA"/>
    <w:rsid w:val="00430831"/>
    <w:rsid w:val="00452FE1"/>
    <w:rsid w:val="00455050"/>
    <w:rsid w:val="00461666"/>
    <w:rsid w:val="00466161"/>
    <w:rsid w:val="00466E10"/>
    <w:rsid w:val="00477BEA"/>
    <w:rsid w:val="00483FCA"/>
    <w:rsid w:val="004928DD"/>
    <w:rsid w:val="004936B9"/>
    <w:rsid w:val="0049698E"/>
    <w:rsid w:val="004A0CD5"/>
    <w:rsid w:val="004A2D36"/>
    <w:rsid w:val="004B5A51"/>
    <w:rsid w:val="004C79C7"/>
    <w:rsid w:val="004D120C"/>
    <w:rsid w:val="004E542F"/>
    <w:rsid w:val="004E5AD4"/>
    <w:rsid w:val="004F08B2"/>
    <w:rsid w:val="004F3DFD"/>
    <w:rsid w:val="004F6C2D"/>
    <w:rsid w:val="005143FC"/>
    <w:rsid w:val="00516730"/>
    <w:rsid w:val="00517176"/>
    <w:rsid w:val="00517531"/>
    <w:rsid w:val="00526C7C"/>
    <w:rsid w:val="005302E8"/>
    <w:rsid w:val="005327B2"/>
    <w:rsid w:val="00533EFF"/>
    <w:rsid w:val="005400BB"/>
    <w:rsid w:val="0055472F"/>
    <w:rsid w:val="0056256C"/>
    <w:rsid w:val="00567E4B"/>
    <w:rsid w:val="0057176C"/>
    <w:rsid w:val="00571811"/>
    <w:rsid w:val="00576D58"/>
    <w:rsid w:val="00582A1D"/>
    <w:rsid w:val="00594AC4"/>
    <w:rsid w:val="005B383B"/>
    <w:rsid w:val="005D121F"/>
    <w:rsid w:val="005D68F1"/>
    <w:rsid w:val="005F2061"/>
    <w:rsid w:val="00601A72"/>
    <w:rsid w:val="00602135"/>
    <w:rsid w:val="00611C72"/>
    <w:rsid w:val="00616648"/>
    <w:rsid w:val="00623EF6"/>
    <w:rsid w:val="00626B7F"/>
    <w:rsid w:val="00632BE2"/>
    <w:rsid w:val="0063459F"/>
    <w:rsid w:val="00640E0A"/>
    <w:rsid w:val="006426D1"/>
    <w:rsid w:val="0064402F"/>
    <w:rsid w:val="00656E37"/>
    <w:rsid w:val="00676552"/>
    <w:rsid w:val="006930AE"/>
    <w:rsid w:val="006951C0"/>
    <w:rsid w:val="006A635A"/>
    <w:rsid w:val="006A6631"/>
    <w:rsid w:val="006C3CCA"/>
    <w:rsid w:val="006F3E51"/>
    <w:rsid w:val="00701B9D"/>
    <w:rsid w:val="007079C8"/>
    <w:rsid w:val="0071171A"/>
    <w:rsid w:val="00712407"/>
    <w:rsid w:val="00715940"/>
    <w:rsid w:val="00724F3D"/>
    <w:rsid w:val="00730A07"/>
    <w:rsid w:val="00731E77"/>
    <w:rsid w:val="00737388"/>
    <w:rsid w:val="00753832"/>
    <w:rsid w:val="0076404A"/>
    <w:rsid w:val="00780A9A"/>
    <w:rsid w:val="00781FF4"/>
    <w:rsid w:val="007930D2"/>
    <w:rsid w:val="007A078D"/>
    <w:rsid w:val="007A3E06"/>
    <w:rsid w:val="007B0940"/>
    <w:rsid w:val="007C6A4C"/>
    <w:rsid w:val="007D57BB"/>
    <w:rsid w:val="007D743D"/>
    <w:rsid w:val="007E3B80"/>
    <w:rsid w:val="007E5B1B"/>
    <w:rsid w:val="007F325B"/>
    <w:rsid w:val="007F7092"/>
    <w:rsid w:val="007F7E3D"/>
    <w:rsid w:val="00813BF0"/>
    <w:rsid w:val="00822961"/>
    <w:rsid w:val="008259F0"/>
    <w:rsid w:val="00830BE6"/>
    <w:rsid w:val="00831D01"/>
    <w:rsid w:val="00850FED"/>
    <w:rsid w:val="008667D4"/>
    <w:rsid w:val="0088083F"/>
    <w:rsid w:val="008863BE"/>
    <w:rsid w:val="008961B7"/>
    <w:rsid w:val="008A1C92"/>
    <w:rsid w:val="008A6244"/>
    <w:rsid w:val="008A727D"/>
    <w:rsid w:val="008B1906"/>
    <w:rsid w:val="008B41E2"/>
    <w:rsid w:val="008B5509"/>
    <w:rsid w:val="008C3307"/>
    <w:rsid w:val="008D3CC4"/>
    <w:rsid w:val="008D7DDC"/>
    <w:rsid w:val="008E1450"/>
    <w:rsid w:val="008E245E"/>
    <w:rsid w:val="008E53B3"/>
    <w:rsid w:val="008E5826"/>
    <w:rsid w:val="008F0948"/>
    <w:rsid w:val="008F4715"/>
    <w:rsid w:val="00904099"/>
    <w:rsid w:val="009074CE"/>
    <w:rsid w:val="00914A1C"/>
    <w:rsid w:val="00925304"/>
    <w:rsid w:val="00930C46"/>
    <w:rsid w:val="00932B52"/>
    <w:rsid w:val="0093674C"/>
    <w:rsid w:val="00937CA0"/>
    <w:rsid w:val="00954D41"/>
    <w:rsid w:val="00957E14"/>
    <w:rsid w:val="009626FD"/>
    <w:rsid w:val="009729D3"/>
    <w:rsid w:val="00973544"/>
    <w:rsid w:val="00977B0C"/>
    <w:rsid w:val="009A0B78"/>
    <w:rsid w:val="009B2B3F"/>
    <w:rsid w:val="009C1E46"/>
    <w:rsid w:val="009C26A5"/>
    <w:rsid w:val="009C274E"/>
    <w:rsid w:val="009D5972"/>
    <w:rsid w:val="009D6986"/>
    <w:rsid w:val="009E2883"/>
    <w:rsid w:val="009E7F84"/>
    <w:rsid w:val="009F243D"/>
    <w:rsid w:val="009F464F"/>
    <w:rsid w:val="009F4868"/>
    <w:rsid w:val="00A11BCC"/>
    <w:rsid w:val="00A11D00"/>
    <w:rsid w:val="00A24465"/>
    <w:rsid w:val="00A25603"/>
    <w:rsid w:val="00A42039"/>
    <w:rsid w:val="00A45683"/>
    <w:rsid w:val="00A551ED"/>
    <w:rsid w:val="00A55EA7"/>
    <w:rsid w:val="00A56B68"/>
    <w:rsid w:val="00A61BBC"/>
    <w:rsid w:val="00A65090"/>
    <w:rsid w:val="00A70A6D"/>
    <w:rsid w:val="00A7312C"/>
    <w:rsid w:val="00A83FA5"/>
    <w:rsid w:val="00A86F67"/>
    <w:rsid w:val="00A9161E"/>
    <w:rsid w:val="00A933F5"/>
    <w:rsid w:val="00AA1B71"/>
    <w:rsid w:val="00AA2FF5"/>
    <w:rsid w:val="00AA5478"/>
    <w:rsid w:val="00AB3CAC"/>
    <w:rsid w:val="00AB5BCF"/>
    <w:rsid w:val="00AC3075"/>
    <w:rsid w:val="00AC3719"/>
    <w:rsid w:val="00AC3C48"/>
    <w:rsid w:val="00AC7ECB"/>
    <w:rsid w:val="00AD04ED"/>
    <w:rsid w:val="00AD17C9"/>
    <w:rsid w:val="00AE0A86"/>
    <w:rsid w:val="00AE60CC"/>
    <w:rsid w:val="00AE6CBF"/>
    <w:rsid w:val="00AF2B83"/>
    <w:rsid w:val="00AF5E03"/>
    <w:rsid w:val="00B00E23"/>
    <w:rsid w:val="00B06DCB"/>
    <w:rsid w:val="00B32598"/>
    <w:rsid w:val="00B404F5"/>
    <w:rsid w:val="00B41461"/>
    <w:rsid w:val="00B63A69"/>
    <w:rsid w:val="00B64DC7"/>
    <w:rsid w:val="00B83351"/>
    <w:rsid w:val="00B840A6"/>
    <w:rsid w:val="00B84CE6"/>
    <w:rsid w:val="00B85B38"/>
    <w:rsid w:val="00B91FD2"/>
    <w:rsid w:val="00B95B6C"/>
    <w:rsid w:val="00B97FED"/>
    <w:rsid w:val="00BB39F5"/>
    <w:rsid w:val="00BC5758"/>
    <w:rsid w:val="00BC7343"/>
    <w:rsid w:val="00BD4F6A"/>
    <w:rsid w:val="00BE0490"/>
    <w:rsid w:val="00BE1393"/>
    <w:rsid w:val="00BE1CD0"/>
    <w:rsid w:val="00BE33DB"/>
    <w:rsid w:val="00BE4597"/>
    <w:rsid w:val="00BF471B"/>
    <w:rsid w:val="00C05462"/>
    <w:rsid w:val="00C174F7"/>
    <w:rsid w:val="00C278F4"/>
    <w:rsid w:val="00C40B11"/>
    <w:rsid w:val="00C45597"/>
    <w:rsid w:val="00C5104F"/>
    <w:rsid w:val="00C7285D"/>
    <w:rsid w:val="00C7371E"/>
    <w:rsid w:val="00C7592E"/>
    <w:rsid w:val="00C91A1C"/>
    <w:rsid w:val="00C94FEE"/>
    <w:rsid w:val="00CC6841"/>
    <w:rsid w:val="00CC6A7D"/>
    <w:rsid w:val="00CE3AD9"/>
    <w:rsid w:val="00CF65FF"/>
    <w:rsid w:val="00D03BBB"/>
    <w:rsid w:val="00D04AF8"/>
    <w:rsid w:val="00D074D3"/>
    <w:rsid w:val="00D208BD"/>
    <w:rsid w:val="00D22CC3"/>
    <w:rsid w:val="00D2399D"/>
    <w:rsid w:val="00D24347"/>
    <w:rsid w:val="00D453EE"/>
    <w:rsid w:val="00D54A3D"/>
    <w:rsid w:val="00D56503"/>
    <w:rsid w:val="00D6446B"/>
    <w:rsid w:val="00D64661"/>
    <w:rsid w:val="00D70EEA"/>
    <w:rsid w:val="00D71DFD"/>
    <w:rsid w:val="00DA7FB2"/>
    <w:rsid w:val="00DB18A8"/>
    <w:rsid w:val="00DC1D1C"/>
    <w:rsid w:val="00DC343E"/>
    <w:rsid w:val="00DC740D"/>
    <w:rsid w:val="00DE2A8F"/>
    <w:rsid w:val="00DF1AE3"/>
    <w:rsid w:val="00E01B64"/>
    <w:rsid w:val="00E03455"/>
    <w:rsid w:val="00E05B15"/>
    <w:rsid w:val="00E27C7E"/>
    <w:rsid w:val="00E27C94"/>
    <w:rsid w:val="00E34C4D"/>
    <w:rsid w:val="00E42755"/>
    <w:rsid w:val="00E508A1"/>
    <w:rsid w:val="00E82F30"/>
    <w:rsid w:val="00E9190B"/>
    <w:rsid w:val="00EA6329"/>
    <w:rsid w:val="00EB48EC"/>
    <w:rsid w:val="00EB6300"/>
    <w:rsid w:val="00ED5192"/>
    <w:rsid w:val="00ED7AB3"/>
    <w:rsid w:val="00EE1EB4"/>
    <w:rsid w:val="00EE5847"/>
    <w:rsid w:val="00F06E08"/>
    <w:rsid w:val="00F15973"/>
    <w:rsid w:val="00F24A13"/>
    <w:rsid w:val="00F27B4C"/>
    <w:rsid w:val="00F31B54"/>
    <w:rsid w:val="00F32160"/>
    <w:rsid w:val="00F36024"/>
    <w:rsid w:val="00F36226"/>
    <w:rsid w:val="00F40947"/>
    <w:rsid w:val="00F52261"/>
    <w:rsid w:val="00F52EEF"/>
    <w:rsid w:val="00F62880"/>
    <w:rsid w:val="00F65B7A"/>
    <w:rsid w:val="00F805BC"/>
    <w:rsid w:val="00F8168F"/>
    <w:rsid w:val="00F83C44"/>
    <w:rsid w:val="00F85727"/>
    <w:rsid w:val="00F86151"/>
    <w:rsid w:val="00FA417E"/>
    <w:rsid w:val="00FA78A2"/>
    <w:rsid w:val="00FB0DF3"/>
    <w:rsid w:val="00FC2F1E"/>
    <w:rsid w:val="00FD1A72"/>
    <w:rsid w:val="00FE0000"/>
    <w:rsid w:val="00FE0372"/>
    <w:rsid w:val="00FE3F85"/>
    <w:rsid w:val="00FE7223"/>
    <w:rsid w:val="00FF5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3C66BF"/>
  <w15:chartTrackingRefBased/>
  <w15:docId w15:val="{36043722-B80E-F842-A5C8-0AB365D5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DF3"/>
    <w:rPr>
      <w:rFonts w:eastAsiaTheme="majorEastAsia" w:cstheme="majorBidi"/>
      <w:color w:val="272727" w:themeColor="text1" w:themeTint="D8"/>
    </w:rPr>
  </w:style>
  <w:style w:type="paragraph" w:styleId="Title">
    <w:name w:val="Title"/>
    <w:basedOn w:val="Normal"/>
    <w:next w:val="Normal"/>
    <w:link w:val="TitleChar"/>
    <w:uiPriority w:val="10"/>
    <w:qFormat/>
    <w:rsid w:val="00FB0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DF3"/>
    <w:pPr>
      <w:spacing w:before="160"/>
      <w:jc w:val="center"/>
    </w:pPr>
    <w:rPr>
      <w:i/>
      <w:iCs/>
      <w:color w:val="404040" w:themeColor="text1" w:themeTint="BF"/>
    </w:rPr>
  </w:style>
  <w:style w:type="character" w:customStyle="1" w:styleId="QuoteChar">
    <w:name w:val="Quote Char"/>
    <w:basedOn w:val="DefaultParagraphFont"/>
    <w:link w:val="Quote"/>
    <w:uiPriority w:val="29"/>
    <w:rsid w:val="00FB0DF3"/>
    <w:rPr>
      <w:i/>
      <w:iCs/>
      <w:color w:val="404040" w:themeColor="text1" w:themeTint="BF"/>
    </w:rPr>
  </w:style>
  <w:style w:type="paragraph" w:styleId="ListParagraph">
    <w:name w:val="List Paragraph"/>
    <w:basedOn w:val="Normal"/>
    <w:uiPriority w:val="34"/>
    <w:qFormat/>
    <w:rsid w:val="00FB0DF3"/>
    <w:pPr>
      <w:ind w:left="720"/>
      <w:contextualSpacing/>
    </w:pPr>
  </w:style>
  <w:style w:type="character" w:styleId="IntenseEmphasis">
    <w:name w:val="Intense Emphasis"/>
    <w:basedOn w:val="DefaultParagraphFont"/>
    <w:uiPriority w:val="21"/>
    <w:qFormat/>
    <w:rsid w:val="00FB0DF3"/>
    <w:rPr>
      <w:i/>
      <w:iCs/>
      <w:color w:val="0F4761" w:themeColor="accent1" w:themeShade="BF"/>
    </w:rPr>
  </w:style>
  <w:style w:type="paragraph" w:styleId="IntenseQuote">
    <w:name w:val="Intense Quote"/>
    <w:basedOn w:val="Normal"/>
    <w:next w:val="Normal"/>
    <w:link w:val="IntenseQuoteChar"/>
    <w:uiPriority w:val="30"/>
    <w:qFormat/>
    <w:rsid w:val="00FB0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DF3"/>
    <w:rPr>
      <w:i/>
      <w:iCs/>
      <w:color w:val="0F4761" w:themeColor="accent1" w:themeShade="BF"/>
    </w:rPr>
  </w:style>
  <w:style w:type="character" w:styleId="IntenseReference">
    <w:name w:val="Intense Reference"/>
    <w:basedOn w:val="DefaultParagraphFont"/>
    <w:uiPriority w:val="32"/>
    <w:qFormat/>
    <w:rsid w:val="00FB0DF3"/>
    <w:rPr>
      <w:b/>
      <w:bCs/>
      <w:smallCaps/>
      <w:color w:val="0F4761" w:themeColor="accent1" w:themeShade="BF"/>
      <w:spacing w:val="5"/>
    </w:rPr>
  </w:style>
  <w:style w:type="paragraph" w:styleId="NormalWeb">
    <w:name w:val="Normal (Web)"/>
    <w:basedOn w:val="Normal"/>
    <w:uiPriority w:val="99"/>
    <w:semiHidden/>
    <w:unhideWhenUsed/>
    <w:rsid w:val="005547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5472F"/>
    <w:rPr>
      <w:color w:val="0000FF"/>
      <w:u w:val="single"/>
    </w:rPr>
  </w:style>
  <w:style w:type="character" w:customStyle="1" w:styleId="apple-tab-span">
    <w:name w:val="apple-tab-span"/>
    <w:basedOn w:val="DefaultParagraphFont"/>
    <w:rsid w:val="0055472F"/>
  </w:style>
  <w:style w:type="paragraph" w:styleId="Bibliography">
    <w:name w:val="Bibliography"/>
    <w:basedOn w:val="Normal"/>
    <w:next w:val="Normal"/>
    <w:uiPriority w:val="37"/>
    <w:unhideWhenUsed/>
    <w:rsid w:val="00724F3D"/>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29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27</cp:revision>
  <dcterms:created xsi:type="dcterms:W3CDTF">2025-04-30T15:02:00Z</dcterms:created>
  <dcterms:modified xsi:type="dcterms:W3CDTF">2025-04-30T15:40:00Z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id="UnRVSD24"/&gt;&lt;style id="http://www.zotero.org/styles/american-medical-association" hasBibliography="1" bibliographyStyleHasBeenSet="1"/&gt;&lt;prefs&gt;&lt;pref name="fieldType" value="Field"/&gt;&lt;/prefs&gt;&lt;/data&gt;</vt:lpwstr>
  </property>
</Properties>
</file>