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1DD1" w14:textId="02E5A2A3" w:rsidR="00CC6841"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Introduction</w:t>
      </w:r>
    </w:p>
    <w:p w14:paraId="03860E3B" w14:textId="5E69DCE5" w:rsidR="0043031D" w:rsidRDefault="00EB2F67" w:rsidP="00676552">
      <w:pPr>
        <w:spacing w:after="0" w:line="480" w:lineRule="auto"/>
        <w:rPr>
          <w:rFonts w:ascii="Times New Roman" w:hAnsi="Times New Roman" w:cs="Times New Roman"/>
        </w:rPr>
      </w:pPr>
      <w:r>
        <w:rPr>
          <w:rFonts w:ascii="Times New Roman" w:hAnsi="Times New Roman" w:cs="Times New Roman"/>
        </w:rPr>
        <w:tab/>
        <w:t xml:space="preserve">Osteomyelitis is </w:t>
      </w:r>
      <w:r w:rsidR="008648BA">
        <w:rPr>
          <w:rFonts w:ascii="Times New Roman" w:hAnsi="Times New Roman" w:cs="Times New Roman"/>
        </w:rPr>
        <w:t>the inflammation</w:t>
      </w:r>
      <w:r w:rsidR="00981933">
        <w:rPr>
          <w:rFonts w:ascii="Times New Roman" w:hAnsi="Times New Roman" w:cs="Times New Roman"/>
        </w:rPr>
        <w:t xml:space="preserve"> of the bone and bone marrow </w:t>
      </w:r>
      <w:r w:rsidR="008648BA">
        <w:rPr>
          <w:rFonts w:ascii="Times New Roman" w:hAnsi="Times New Roman" w:cs="Times New Roman"/>
        </w:rPr>
        <w:t>generally caused by an infectious process.</w:t>
      </w:r>
      <w:r w:rsidR="008648BA">
        <w:rPr>
          <w:rFonts w:ascii="Times New Roman" w:hAnsi="Times New Roman" w:cs="Times New Roman"/>
        </w:rPr>
        <w:fldChar w:fldCharType="begin"/>
      </w:r>
      <w:r w:rsidR="008648BA">
        <w:rPr>
          <w:rFonts w:ascii="Times New Roman" w:hAnsi="Times New Roman" w:cs="Times New Roman"/>
        </w:rPr>
        <w:instrText xml:space="preserve"> ADDIN ZOTERO_ITEM CSL_CITATION {"citationID":"Kr7sEI1D","properties":{"formattedCitation":"\\super 1,2\\nosupersub{}","plainCitation":"1,2","noteIndex":0},"citationItems":[{"id":5586,"uris":["http://zotero.org/groups/5952805/items/2TFNNXLW"],"itemData":{"id":5586,"type":"article-journal","container-title":"The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M."}],"issued":{"date-parts":[["2021",10,1]]}}}],"schema":"https://github.com/citation-style-language/schema/raw/master/csl-citation.json"} </w:instrText>
      </w:r>
      <w:r w:rsidR="008648BA">
        <w:rPr>
          <w:rFonts w:ascii="Times New Roman" w:hAnsi="Times New Roman" w:cs="Times New Roman"/>
        </w:rPr>
        <w:fldChar w:fldCharType="separate"/>
      </w:r>
      <w:r w:rsidR="008648BA" w:rsidRPr="008648BA">
        <w:rPr>
          <w:rFonts w:ascii="Times New Roman" w:hAnsi="Times New Roman" w:cs="Times New Roman"/>
          <w:kern w:val="0"/>
          <w:vertAlign w:val="superscript"/>
        </w:rPr>
        <w:t>1,2</w:t>
      </w:r>
      <w:r w:rsidR="008648BA">
        <w:rPr>
          <w:rFonts w:ascii="Times New Roman" w:hAnsi="Times New Roman" w:cs="Times New Roman"/>
        </w:rPr>
        <w:fldChar w:fldCharType="end"/>
      </w:r>
      <w:r w:rsidR="008648BA">
        <w:rPr>
          <w:rFonts w:ascii="Times New Roman" w:hAnsi="Times New Roman" w:cs="Times New Roman"/>
        </w:rPr>
        <w:t xml:space="preserve"> </w:t>
      </w:r>
      <w:r w:rsidR="00C6228E">
        <w:rPr>
          <w:rFonts w:ascii="Times New Roman" w:hAnsi="Times New Roman" w:cs="Times New Roman"/>
        </w:rPr>
        <w:t xml:space="preserve">It can lead to significant clinical burden, with </w:t>
      </w:r>
      <w:r w:rsidR="00FE0A99">
        <w:rPr>
          <w:rFonts w:ascii="Times New Roman" w:hAnsi="Times New Roman" w:cs="Times New Roman"/>
        </w:rPr>
        <w:t xml:space="preserve">complications including chronic infection, </w:t>
      </w:r>
      <w:r w:rsidR="00CF2E76">
        <w:rPr>
          <w:rFonts w:ascii="Times New Roman" w:hAnsi="Times New Roman" w:cs="Times New Roman"/>
        </w:rPr>
        <w:t xml:space="preserve">amputations, and </w:t>
      </w:r>
      <w:r w:rsidR="0053074E">
        <w:rPr>
          <w:rFonts w:ascii="Times New Roman" w:hAnsi="Times New Roman" w:cs="Times New Roman"/>
        </w:rPr>
        <w:t>increased healthcare costs.</w:t>
      </w:r>
      <w:r w:rsidR="00AD2CF3">
        <w:rPr>
          <w:rFonts w:ascii="Times New Roman" w:hAnsi="Times New Roman" w:cs="Times New Roman"/>
        </w:rPr>
        <w:fldChar w:fldCharType="begin"/>
      </w:r>
      <w:r w:rsidR="00080BA5">
        <w:rPr>
          <w:rFonts w:ascii="Times New Roman" w:hAnsi="Times New Roman" w:cs="Times New Roman"/>
        </w:rPr>
        <w:instrText xml:space="preserve"> ADDIN ZOTERO_ITEM CSL_CITATION {"citationID":"jEiluV0Z","properties":{"formattedCitation":"\\super 3\\uc0\\u8211{}5\\nosupersub{}","plainCitation":"3–5","noteIndex":0},"citationItems":[{"id":5593,"uris":["http://zotero.org/groups/5952805/items/WL4MM7XI"],"itemData":{"id":5593,"type":"article-journal","abstract":"Osteomyelitis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T"}],"issued":{"date-parts":[["2019",9,10]]}}},{"id":"Yn4Zftqv/MlrCJl6M","uris":["http://zotero.org/groups/5952805/items/ZPNNFPJR"],"itemData":{"id":5601,"type":"article-journal","abstract":"BACKGROUND: Treatment of large segmental defects in skeletal long bones is challenging. Heterogeneity in patient presentation further increase the difficulty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defined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inflation to 2019 consumer price-index.\nRESULTS: 904 patients were identified in PHD (414 fractures, 388 osteomyelitis and 102 nonunion patients). Main comorbidities at time of initial surgery were hypertension (32.7%) followed by obesity (22.1%), diabetes with complications (20.9%) and chronic pulmonary disease (20.6%). Significant variability in surgical operating room time and length of stay were observed, with averages of 484.7 minutes and 11.7 days, respectively. Two-year postoperative infection rates ranged from 33.1% - 58.5%, the highest infection rates being reflective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identified high complication rates and costs of segmental bone repair surgery. All patients with segmental bone defects had high costs and risks but patients with osteomyelitis were at significant risk for increased cost and complications, including amputation. Medical innovation is particularly important for this high-risk patient group.","container-title":"Injury","DOI":"10.1016/j.injury.2021.01.016","ISSN":"1879-0267","issue":"10","journalAbbreviation":"Injury","language":"eng","note":"PMID: 33514450","page":"2935-2940","source":"PubMed","title":"Treatments,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D2CF3">
        <w:rPr>
          <w:rFonts w:ascii="Times New Roman" w:hAnsi="Times New Roman" w:cs="Times New Roman"/>
        </w:rPr>
        <w:fldChar w:fldCharType="separate"/>
      </w:r>
      <w:r w:rsidR="00AD2CF3" w:rsidRPr="00AD2CF3">
        <w:rPr>
          <w:rFonts w:ascii="Times New Roman" w:hAnsi="Times New Roman" w:cs="Times New Roman"/>
          <w:kern w:val="0"/>
          <w:vertAlign w:val="superscript"/>
        </w:rPr>
        <w:t>3–5</w:t>
      </w:r>
      <w:r w:rsidR="00AD2CF3">
        <w:rPr>
          <w:rFonts w:ascii="Times New Roman" w:hAnsi="Times New Roman" w:cs="Times New Roman"/>
        </w:rPr>
        <w:fldChar w:fldCharType="end"/>
      </w:r>
      <w:r w:rsidR="0043031D">
        <w:rPr>
          <w:rFonts w:ascii="Times New Roman" w:hAnsi="Times New Roman" w:cs="Times New Roman"/>
        </w:rPr>
        <w:t xml:space="preserve"> The condition has an estimated prevalence of 2-5 cases per 10,000 people in the United States, a number that has risen over the past few decades in association with an older population and increases in the prevalence of common comorbidities such as diabetes.</w:t>
      </w:r>
      <w:r w:rsidR="00926383">
        <w:rPr>
          <w:rFonts w:ascii="Times New Roman" w:hAnsi="Times New Roman" w:cs="Times New Roman"/>
        </w:rPr>
        <w:fldChar w:fldCharType="begin"/>
      </w:r>
      <w:r w:rsidR="00AD2CF3">
        <w:rPr>
          <w:rFonts w:ascii="Times New Roman" w:hAnsi="Times New Roman" w:cs="Times New Roman"/>
        </w:rPr>
        <w:instrText xml:space="preserve"> ADDIN ZOTERO_ITEM CSL_CITATION {"citationID":"EjHv3IKU","properties":{"formattedCitation":"\\super 6\\nosupersub{}","plainCitation":"6","noteIndex":0},"citationItems":[{"id":5591,"uris":["http://zotero.org/groups/5952805/items/B8UZRD32"],"itemData":{"id":5591,"type":"webpage","abstract":"Learn about Osteomyelitis, including symptoms, causes, and treatments. If you or a loved one is affected by this condition, visit NORD to find resources.","language":"en-US","title":"Osteomyelitis | Bone Infection Symptoms, Causes, Treatment","URL":"https://rarediseases.org/rare-diseases/osteomyelitis/","accessed":{"date-parts":[["2025",5,15]]}}}],"schema":"https://github.com/citation-style-language/schema/raw/master/csl-citation.json"} </w:instrText>
      </w:r>
      <w:r w:rsidR="00926383">
        <w:rPr>
          <w:rFonts w:ascii="Times New Roman" w:hAnsi="Times New Roman" w:cs="Times New Roman"/>
        </w:rPr>
        <w:fldChar w:fldCharType="separate"/>
      </w:r>
      <w:r w:rsidR="00AD2CF3" w:rsidRPr="00AD2CF3">
        <w:rPr>
          <w:rFonts w:ascii="Times New Roman" w:hAnsi="Times New Roman" w:cs="Times New Roman"/>
          <w:kern w:val="0"/>
          <w:vertAlign w:val="superscript"/>
        </w:rPr>
        <w:t>6</w:t>
      </w:r>
      <w:r w:rsidR="00926383">
        <w:rPr>
          <w:rFonts w:ascii="Times New Roman" w:hAnsi="Times New Roman" w:cs="Times New Roman"/>
        </w:rPr>
        <w:fldChar w:fldCharType="end"/>
      </w:r>
      <w:r w:rsidR="00AB5F7C">
        <w:rPr>
          <w:rFonts w:ascii="Times New Roman" w:hAnsi="Times New Roman" w:cs="Times New Roman"/>
        </w:rPr>
        <w:t xml:space="preserve"> </w:t>
      </w:r>
    </w:p>
    <w:p w14:paraId="7587162C" w14:textId="3DED9A61" w:rsidR="00714254" w:rsidRDefault="00714254" w:rsidP="00676552">
      <w:pPr>
        <w:spacing w:after="0" w:line="480" w:lineRule="auto"/>
        <w:rPr>
          <w:rFonts w:ascii="Times New Roman" w:hAnsi="Times New Roman" w:cs="Times New Roman"/>
        </w:rPr>
      </w:pPr>
      <w:r>
        <w:rPr>
          <w:rFonts w:ascii="Times New Roman" w:hAnsi="Times New Roman" w:cs="Times New Roman"/>
        </w:rPr>
        <w:tab/>
        <w:t xml:space="preserve">Despite this increase in prevalence, </w:t>
      </w:r>
      <w:r w:rsidR="002D3824">
        <w:rPr>
          <w:rFonts w:ascii="Times New Roman" w:hAnsi="Times New Roman" w:cs="Times New Roman"/>
        </w:rPr>
        <w:t xml:space="preserve">there remains a lack of literature </w:t>
      </w:r>
      <w:r w:rsidR="0018366E">
        <w:rPr>
          <w:rFonts w:ascii="Times New Roman" w:hAnsi="Times New Roman" w:cs="Times New Roman"/>
        </w:rPr>
        <w:t>regarding the national mortality burden of osteomyelitis</w:t>
      </w:r>
      <w:r w:rsidR="00397A37">
        <w:rPr>
          <w:rFonts w:ascii="Times New Roman" w:hAnsi="Times New Roman" w:cs="Times New Roman"/>
        </w:rPr>
        <w:t xml:space="preserve"> in the United States</w:t>
      </w:r>
      <w:r w:rsidR="0018366E">
        <w:rPr>
          <w:rFonts w:ascii="Times New Roman" w:hAnsi="Times New Roman" w:cs="Times New Roman"/>
        </w:rPr>
        <w:t>.</w:t>
      </w:r>
      <w:r w:rsidR="000F2156">
        <w:rPr>
          <w:rFonts w:ascii="Times New Roman" w:hAnsi="Times New Roman" w:cs="Times New Roman"/>
        </w:rPr>
        <w:t xml:space="preserve"> </w:t>
      </w:r>
      <w:r w:rsidR="00606C40">
        <w:rPr>
          <w:rFonts w:ascii="Times New Roman" w:hAnsi="Times New Roman" w:cs="Times New Roman"/>
        </w:rPr>
        <w:t xml:space="preserve">Previous </w:t>
      </w:r>
      <w:r w:rsidR="00A66A98">
        <w:rPr>
          <w:rFonts w:ascii="Times New Roman" w:hAnsi="Times New Roman" w:cs="Times New Roman"/>
        </w:rPr>
        <w:t xml:space="preserve">American </w:t>
      </w:r>
      <w:r w:rsidR="00606C40">
        <w:rPr>
          <w:rFonts w:ascii="Times New Roman" w:hAnsi="Times New Roman" w:cs="Times New Roman"/>
        </w:rPr>
        <w:t>studies</w:t>
      </w:r>
      <w:r w:rsidR="00840333">
        <w:rPr>
          <w:rFonts w:ascii="Times New Roman" w:hAnsi="Times New Roman" w:cs="Times New Roman"/>
        </w:rPr>
        <w:t xml:space="preserve"> </w:t>
      </w:r>
      <w:r w:rsidR="00606C40">
        <w:rPr>
          <w:rFonts w:ascii="Times New Roman" w:hAnsi="Times New Roman" w:cs="Times New Roman"/>
        </w:rPr>
        <w:t xml:space="preserve">have </w:t>
      </w:r>
      <w:r w:rsidR="00281C9A">
        <w:rPr>
          <w:rFonts w:ascii="Times New Roman" w:hAnsi="Times New Roman" w:cs="Times New Roman"/>
        </w:rPr>
        <w:t xml:space="preserve">examined </w:t>
      </w:r>
      <w:r w:rsidR="00D13907">
        <w:rPr>
          <w:rFonts w:ascii="Times New Roman" w:hAnsi="Times New Roman" w:cs="Times New Roman"/>
        </w:rPr>
        <w:t xml:space="preserve">the mortality burden of </w:t>
      </w:r>
      <w:r w:rsidR="00232331">
        <w:rPr>
          <w:rFonts w:ascii="Times New Roman" w:hAnsi="Times New Roman" w:cs="Times New Roman"/>
        </w:rPr>
        <w:t>osteomyelitis as a complication of diabetes</w:t>
      </w:r>
      <w:r w:rsidR="000B5F33">
        <w:rPr>
          <w:rFonts w:ascii="Times New Roman" w:hAnsi="Times New Roman" w:cs="Times New Roman"/>
        </w:rPr>
        <w:t xml:space="preserve">, finding that </w:t>
      </w:r>
      <w:r w:rsidR="00B54B09">
        <w:rPr>
          <w:rFonts w:ascii="Times New Roman" w:hAnsi="Times New Roman" w:cs="Times New Roman"/>
        </w:rPr>
        <w:t xml:space="preserve">deaths in recent decades have seen </w:t>
      </w:r>
      <w:r w:rsidR="002B00EC">
        <w:rPr>
          <w:rFonts w:ascii="Times New Roman" w:hAnsi="Times New Roman" w:cs="Times New Roman"/>
        </w:rPr>
        <w:t xml:space="preserve">the most pronounced rise among </w:t>
      </w:r>
      <w:r w:rsidR="003832CC">
        <w:rPr>
          <w:rFonts w:ascii="Times New Roman" w:hAnsi="Times New Roman" w:cs="Times New Roman"/>
        </w:rPr>
        <w:t xml:space="preserve">patients </w:t>
      </w:r>
      <w:r w:rsidR="00D10EEA">
        <w:rPr>
          <w:rFonts w:ascii="Times New Roman" w:hAnsi="Times New Roman" w:cs="Times New Roman"/>
        </w:rPr>
        <w:t>younger than 65 years old.</w:t>
      </w:r>
      <w:r w:rsidR="00080BA5">
        <w:rPr>
          <w:rFonts w:ascii="Times New Roman" w:hAnsi="Times New Roman" w:cs="Times New Roman"/>
        </w:rPr>
        <w:fldChar w:fldCharType="begin"/>
      </w:r>
      <w:r w:rsidR="00080BA5">
        <w:rPr>
          <w:rFonts w:ascii="Times New Roman" w:hAnsi="Times New Roman" w:cs="Times New Roman"/>
        </w:rPr>
        <w:instrText xml:space="preserve"> ADDIN ZOTERO_ITEM CSL_CITATION {"citationID":"KpE71U6m","properties":{"formattedCitation":"\\super 7\\nosupersub{}","plainCitation":"7","noteIndex":0},"citationItems":[{"id":5603,"uris":["http://zotero.org/groups/5952805/items/XDL8N2DW"],"itemData":{"id":5603,"type":"article-journal","abstract":"Background.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080BA5">
        <w:rPr>
          <w:rFonts w:ascii="Times New Roman" w:hAnsi="Times New Roman" w:cs="Times New Roman"/>
        </w:rPr>
        <w:fldChar w:fldCharType="separate"/>
      </w:r>
      <w:r w:rsidR="00080BA5" w:rsidRPr="00080BA5">
        <w:rPr>
          <w:rFonts w:ascii="Times New Roman" w:hAnsi="Times New Roman" w:cs="Times New Roman"/>
          <w:kern w:val="0"/>
          <w:vertAlign w:val="superscript"/>
        </w:rPr>
        <w:t>7</w:t>
      </w:r>
      <w:r w:rsidR="00080BA5">
        <w:rPr>
          <w:rFonts w:ascii="Times New Roman" w:hAnsi="Times New Roman" w:cs="Times New Roman"/>
        </w:rPr>
        <w:fldChar w:fldCharType="end"/>
      </w:r>
      <w:r w:rsidR="00080BA5">
        <w:rPr>
          <w:rFonts w:ascii="Times New Roman" w:hAnsi="Times New Roman" w:cs="Times New Roman"/>
        </w:rPr>
        <w:t xml:space="preserve"> </w:t>
      </w:r>
      <w:r w:rsidR="0018366E">
        <w:rPr>
          <w:rFonts w:ascii="Times New Roman" w:hAnsi="Times New Roman" w:cs="Times New Roman"/>
        </w:rPr>
        <w:t xml:space="preserve"> </w:t>
      </w:r>
    </w:p>
    <w:p w14:paraId="0B82E89A" w14:textId="77777777" w:rsidR="00676552" w:rsidRPr="0055472F" w:rsidRDefault="00676552" w:rsidP="00676552">
      <w:pPr>
        <w:spacing w:after="0" w:line="480" w:lineRule="auto"/>
        <w:rPr>
          <w:rFonts w:ascii="Times New Roman" w:hAnsi="Times New Roman" w:cs="Times New Roman"/>
        </w:rPr>
      </w:pPr>
    </w:p>
    <w:p w14:paraId="0531A8F1" w14:textId="6F8F285B"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Methods</w:t>
      </w:r>
    </w:p>
    <w:p w14:paraId="414A6329" w14:textId="0F0CBB23"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We conducted a population-based, cross-sectional study using national mortality data from the Centers for Disease Control and Prevention (CDC) Wide-ranging Online Data for Epidemiologic Research (WONDER) platform. The study included all U.S. resident deaths from 1999 to 2020 in which osteomyelitis was listed as a multiple cause of death, meaning it appeared anywhere on the death certificate, either as the underlying or a contributing cause.</w:t>
      </w:r>
      <w:r>
        <w:rPr>
          <w:rFonts w:ascii="Times New Roman" w:eastAsia="Times New Roman" w:hAnsi="Times New Roman" w:cs="Times New Roman"/>
          <w:color w:val="000000"/>
          <w:kern w:val="0"/>
          <w14:ligatures w14:val="none"/>
        </w:rPr>
        <w:fldChar w:fldCharType="begin"/>
      </w:r>
      <w:r w:rsidR="00080BA5">
        <w:rPr>
          <w:rFonts w:ascii="Times New Roman" w:eastAsia="Times New Roman" w:hAnsi="Times New Roman" w:cs="Times New Roman"/>
          <w:color w:val="000000"/>
          <w:kern w:val="0"/>
          <w14:ligatures w14:val="none"/>
        </w:rPr>
        <w:instrText xml:space="preserve"> ADDIN ZOTERO_ITEM CSL_CITATION {"citationID":"m7s3qKd3","properties":{"formattedCitation":"\\super 8\\nosupersub{}","plainCitation":"8","noteIndex":0},"citationItems":[{"id":5572,"uris":["http://zotero.org/groups/5952805/items/CSPPI9H8"],"itemData":{"id":5572,"type":"webpage","container-title":"Centers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00080BA5" w:rsidRPr="00080BA5">
        <w:rPr>
          <w:rFonts w:ascii="Times New Roman" w:hAnsi="Times New Roman" w:cs="Times New Roman"/>
          <w:color w:val="000000"/>
          <w:kern w:val="0"/>
          <w:vertAlign w:val="superscript"/>
        </w:rPr>
        <w:t>8</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w:t>
      </w:r>
    </w:p>
    <w:p w14:paraId="5DCAF79B" w14:textId="658A1CE8"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the dataset represents the full population of death certificates filed during the study period, no sampling was performed.</w:t>
      </w:r>
      <w:r w:rsidR="00FE7223">
        <w:rPr>
          <w:rFonts w:ascii="Times New Roman" w:eastAsia="Times New Roman" w:hAnsi="Times New Roman" w:cs="Times New Roman"/>
          <w:color w:val="000000"/>
          <w:kern w:val="0"/>
          <w14:ligatures w14:val="none"/>
        </w:rPr>
        <w:fldChar w:fldCharType="begin"/>
      </w:r>
      <w:r w:rsidR="00080BA5">
        <w:rPr>
          <w:rFonts w:ascii="Times New Roman" w:eastAsia="Times New Roman" w:hAnsi="Times New Roman" w:cs="Times New Roman"/>
          <w:color w:val="000000"/>
          <w:kern w:val="0"/>
          <w14:ligatures w14:val="none"/>
        </w:rPr>
        <w:instrText xml:space="preserve"> ADDIN ZOTERO_ITEM CSL_CITATION {"citationID":"tmgDgUEq","properties":{"formattedCitation":"\\super 9\\nosupersub{}","plainCitation":"9","noteIndex":0},"citationItems":[{"id":5573,"uris":["http://zotero.org/groups/5952805/items/4EX9XING"],"itemData":{"id":5573,"type":"webpage","container-title":"CDC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FE7223">
        <w:rPr>
          <w:rFonts w:ascii="Times New Roman" w:eastAsia="Times New Roman" w:hAnsi="Times New Roman" w:cs="Times New Roman"/>
          <w:color w:val="000000"/>
          <w:kern w:val="0"/>
          <w14:ligatures w14:val="none"/>
        </w:rPr>
        <w:fldChar w:fldCharType="separate"/>
      </w:r>
      <w:r w:rsidR="00080BA5" w:rsidRPr="00080BA5">
        <w:rPr>
          <w:rFonts w:ascii="Times New Roman" w:hAnsi="Times New Roman" w:cs="Times New Roman"/>
          <w:color w:val="000000"/>
          <w:kern w:val="0"/>
          <w:vertAlign w:val="superscript"/>
        </w:rPr>
        <w:t>9</w:t>
      </w:r>
      <w:r w:rsidR="00FE7223">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The data are drawn from the National Vital Statistics System (NVSS) and represent complete death records submitted by state vital registration offices.</w:t>
      </w:r>
      <w:r w:rsidRPr="0055472F">
        <w:rPr>
          <w:rFonts w:ascii="Times New Roman" w:eastAsia="Times New Roman" w:hAnsi="Times New Roman" w:cs="Times New Roman"/>
          <w:kern w:val="0"/>
          <w14:ligatures w14:val="none"/>
        </w:rPr>
        <w:t xml:space="preserve"> </w:t>
      </w:r>
    </w:p>
    <w:p w14:paraId="4E89DBBC" w14:textId="39E84338" w:rsidR="0055472F" w:rsidRPr="0055472F" w:rsidRDefault="0055472F" w:rsidP="0055472F">
      <w:pPr>
        <w:spacing w:after="0" w:line="480" w:lineRule="auto"/>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lastRenderedPageBreak/>
        <w:tab/>
        <w:t>Data were accessed and downloaded using CDC WONDER’s Multiple Cause of Death query tool.</w:t>
      </w:r>
      <w:r>
        <w:rPr>
          <w:rFonts w:ascii="Times New Roman" w:eastAsia="Times New Roman" w:hAnsi="Times New Roman" w:cs="Times New Roman"/>
          <w:color w:val="000000"/>
          <w:kern w:val="0"/>
          <w14:ligatures w14:val="none"/>
        </w:rPr>
        <w:fldChar w:fldCharType="begin"/>
      </w:r>
      <w:r w:rsidR="00080BA5">
        <w:rPr>
          <w:rFonts w:ascii="Times New Roman" w:eastAsia="Times New Roman" w:hAnsi="Times New Roman" w:cs="Times New Roman"/>
          <w:color w:val="000000"/>
          <w:kern w:val="0"/>
          <w14:ligatures w14:val="none"/>
        </w:rPr>
        <w:instrText xml:space="preserve"> ADDIN ZOTERO_ITEM CSL_CITATION {"citationID":"lheOeSp2","properties":{"formattedCitation":"\\super 8\\nosupersub{}","plainCitation":"8","noteIndex":0},"citationItems":[{"id":5572,"uris":["http://zotero.org/groups/5952805/items/CSPPI9H8"],"itemData":{"id":5572,"type":"webpage","container-title":"Centers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Pr>
          <w:rFonts w:ascii="Times New Roman" w:eastAsia="Times New Roman" w:hAnsi="Times New Roman" w:cs="Times New Roman"/>
          <w:color w:val="000000"/>
          <w:kern w:val="0"/>
          <w14:ligatures w14:val="none"/>
        </w:rPr>
        <w:fldChar w:fldCharType="separate"/>
      </w:r>
      <w:r w:rsidR="00080BA5" w:rsidRPr="00080BA5">
        <w:rPr>
          <w:rFonts w:ascii="Times New Roman" w:hAnsi="Times New Roman" w:cs="Times New Roman"/>
          <w:color w:val="000000"/>
          <w:kern w:val="0"/>
          <w:vertAlign w:val="superscript"/>
        </w:rPr>
        <w:t>8</w:t>
      </w:r>
      <w:r>
        <w:rPr>
          <w:rFonts w:ascii="Times New Roman" w:eastAsia="Times New Roman" w:hAnsi="Times New Roman" w:cs="Times New Roman"/>
          <w:color w:val="000000"/>
          <w:kern w:val="0"/>
          <w14:ligatures w14:val="none"/>
        </w:rPr>
        <w:fldChar w:fldCharType="end"/>
      </w:r>
      <w:r w:rsidRPr="0055472F">
        <w:rPr>
          <w:rFonts w:ascii="Times New Roman" w:eastAsia="Times New Roman" w:hAnsi="Times New Roman" w:cs="Times New Roman"/>
          <w:color w:val="000000"/>
          <w:kern w:val="0"/>
          <w14:ligatures w14:val="none"/>
        </w:rPr>
        <w:t xml:space="preserve"> Osteomyelitis-related deaths were identified using ICD-10 code M86. The following variables were extracted: number of deaths; crude mortality rate (per 100,000 population); and age-adjusted mortality rate</w:t>
      </w:r>
      <w:r w:rsidR="000F25EB">
        <w:rPr>
          <w:rFonts w:ascii="Times New Roman" w:eastAsia="Times New Roman" w:hAnsi="Times New Roman" w:cs="Times New Roman"/>
          <w:color w:val="000000"/>
          <w:kern w:val="0"/>
          <w14:ligatures w14:val="none"/>
        </w:rPr>
        <w:t xml:space="preserve"> (AAMR)</w:t>
      </w:r>
      <w:r w:rsidRPr="0055472F">
        <w:rPr>
          <w:rFonts w:ascii="Times New Roman" w:eastAsia="Times New Roman" w:hAnsi="Times New Roman" w:cs="Times New Roman"/>
          <w:color w:val="000000"/>
          <w:kern w:val="0"/>
          <w14:ligatures w14:val="none"/>
        </w:rPr>
        <w:t>, standardized to the 2000 U.S. standard population. We further stratified the data by: sex (male, female); race/ethnicity (non-Hispanic White, non-Hispanic Black, Hispanic, Asian or Pacific Islander, American Indian/Alaska Native); and age group (&lt;45, 45–64, and ≥65 years). Population denominators were provided by CDC WONDER, based on bridged-race census estimates.</w:t>
      </w:r>
    </w:p>
    <w:p w14:paraId="19BFA0C1" w14:textId="3233CD66"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 xml:space="preserve">Descriptive statistics were used to summarize the burden of osteomyelitis-related mortality. We calculated crude and age-adjusted mortality rates for the overall population and for each demographic subgroup. To assess temporal trends, we plotted annual age-adjusted mortality rates from 1999 to 2020 and conducted linear regression </w:t>
      </w:r>
      <w:r w:rsidR="00977B0C">
        <w:rPr>
          <w:rFonts w:ascii="Times New Roman" w:eastAsia="Times New Roman" w:hAnsi="Times New Roman" w:cs="Times New Roman"/>
          <w:color w:val="000000"/>
          <w:kern w:val="0"/>
          <w14:ligatures w14:val="none"/>
        </w:rPr>
        <w:t xml:space="preserve">while calculating </w:t>
      </w:r>
      <w:r w:rsidR="00BE4597">
        <w:rPr>
          <w:rFonts w:ascii="Times New Roman" w:eastAsia="Times New Roman" w:hAnsi="Times New Roman" w:cs="Times New Roman"/>
          <w:color w:val="000000"/>
          <w:kern w:val="0"/>
          <w14:ligatures w14:val="none"/>
        </w:rPr>
        <w:t>annual percent change (APC)</w:t>
      </w:r>
      <w:r w:rsidRPr="0055472F">
        <w:rPr>
          <w:rFonts w:ascii="Times New Roman" w:eastAsia="Times New Roman" w:hAnsi="Times New Roman" w:cs="Times New Roman"/>
          <w:color w:val="000000"/>
          <w:kern w:val="0"/>
          <w14:ligatures w14:val="none"/>
        </w:rPr>
        <w:t>. We calculated rate differences and rate ratios between demographic groups to identify disparities in osteomyelitis-related mortality. All statistical tests were performed using R (version 4.3.1).</w:t>
      </w:r>
    </w:p>
    <w:p w14:paraId="6786BD57" w14:textId="77777777" w:rsidR="0055472F" w:rsidRPr="0055472F" w:rsidRDefault="0055472F" w:rsidP="0055472F">
      <w:pPr>
        <w:spacing w:after="0" w:line="480" w:lineRule="auto"/>
        <w:ind w:firstLine="720"/>
        <w:rPr>
          <w:rFonts w:ascii="Times New Roman" w:eastAsia="Times New Roman" w:hAnsi="Times New Roman" w:cs="Times New Roman"/>
          <w:kern w:val="0"/>
          <w14:ligatures w14:val="none"/>
        </w:rPr>
      </w:pPr>
      <w:r w:rsidRPr="0055472F">
        <w:rPr>
          <w:rFonts w:ascii="Times New Roman" w:eastAsia="Times New Roman" w:hAnsi="Times New Roman" w:cs="Times New Roman"/>
          <w:color w:val="000000"/>
          <w:kern w:val="0"/>
          <w14:ligatures w14:val="none"/>
        </w:rPr>
        <w:t>Because this study used publicly available, de-identified data, it was considered not human subjects research and was exempt from institutional review board approval.</w:t>
      </w:r>
    </w:p>
    <w:p w14:paraId="3D74609B" w14:textId="77777777" w:rsidR="0055472F" w:rsidRPr="0055472F" w:rsidRDefault="0055472F" w:rsidP="00676552">
      <w:pPr>
        <w:spacing w:after="0" w:line="480" w:lineRule="auto"/>
        <w:rPr>
          <w:rFonts w:ascii="Times New Roman" w:hAnsi="Times New Roman" w:cs="Times New Roman"/>
          <w:b/>
          <w:bCs/>
        </w:rPr>
      </w:pPr>
    </w:p>
    <w:p w14:paraId="532CA0E7" w14:textId="7BF33CE7" w:rsidR="00676552" w:rsidRPr="0055472F" w:rsidRDefault="00676552" w:rsidP="00676552">
      <w:pPr>
        <w:spacing w:after="0" w:line="480" w:lineRule="auto"/>
        <w:rPr>
          <w:rFonts w:ascii="Times New Roman" w:hAnsi="Times New Roman" w:cs="Times New Roman"/>
        </w:rPr>
      </w:pPr>
      <w:r w:rsidRPr="0055472F">
        <w:rPr>
          <w:rFonts w:ascii="Times New Roman" w:hAnsi="Times New Roman" w:cs="Times New Roman"/>
          <w:b/>
          <w:bCs/>
        </w:rPr>
        <w:t>Results</w:t>
      </w:r>
    </w:p>
    <w:p w14:paraId="0DFAF181" w14:textId="5CCC0AA8" w:rsidR="00676552" w:rsidRDefault="00D208BD" w:rsidP="00676552">
      <w:pPr>
        <w:spacing w:after="0" w:line="480" w:lineRule="auto"/>
        <w:rPr>
          <w:rFonts w:ascii="Times New Roman" w:hAnsi="Times New Roman" w:cs="Times New Roman"/>
        </w:rPr>
      </w:pPr>
      <w:r>
        <w:rPr>
          <w:rFonts w:ascii="Times New Roman" w:hAnsi="Times New Roman" w:cs="Times New Roman"/>
        </w:rPr>
        <w:tab/>
      </w:r>
      <w:r w:rsidR="00925304" w:rsidRPr="00925304">
        <w:rPr>
          <w:rFonts w:ascii="Times New Roman" w:hAnsi="Times New Roman" w:cs="Times New Roman"/>
        </w:rPr>
        <w:t xml:space="preserve">Throughout the study period from 1999 to 2020, there were 56,806,341 death certificates recorded in the United States, and of these, 85,474 (0.2%) had osteomyelitis listed as a contributing factor. Furthermore, of those death certificates with osteomyelitis listed as a contributing factor, 35,192 (41.2%) had osteomyelitis as the underlying cause. Among all 85,474 </w:t>
      </w:r>
      <w:r w:rsidR="00925304" w:rsidRPr="00925304">
        <w:rPr>
          <w:rFonts w:ascii="Times New Roman" w:hAnsi="Times New Roman" w:cs="Times New Roman"/>
        </w:rPr>
        <w:lastRenderedPageBreak/>
        <w:t>death certificates with osteomyelitis listed as any contributing factor, 46,961 (54.9%) corresponded to a male individual and 69,154 (80.9%) to those who were White. The average age at death for the death certificates was 74.7 years.</w:t>
      </w:r>
      <w:r w:rsidR="00925304">
        <w:rPr>
          <w:rFonts w:ascii="Times New Roman" w:hAnsi="Times New Roman" w:cs="Times New Roman"/>
        </w:rPr>
        <w:t xml:space="preserve"> </w:t>
      </w:r>
    </w:p>
    <w:p w14:paraId="4102326A" w14:textId="51A8E64A" w:rsidR="00AE6CBF" w:rsidRDefault="00925304" w:rsidP="00676552">
      <w:pPr>
        <w:spacing w:after="0" w:line="480" w:lineRule="auto"/>
        <w:rPr>
          <w:rFonts w:ascii="Times New Roman" w:hAnsi="Times New Roman" w:cs="Times New Roman"/>
        </w:rPr>
      </w:pPr>
      <w:r>
        <w:rPr>
          <w:rFonts w:ascii="Times New Roman" w:hAnsi="Times New Roman" w:cs="Times New Roman"/>
        </w:rPr>
        <w:tab/>
      </w:r>
      <w:r w:rsidR="000F25EB">
        <w:rPr>
          <w:rFonts w:ascii="Times New Roman" w:hAnsi="Times New Roman" w:cs="Times New Roman"/>
        </w:rPr>
        <w:t xml:space="preserve">The </w:t>
      </w:r>
      <w:r w:rsidR="00C7285D">
        <w:rPr>
          <w:rFonts w:ascii="Times New Roman" w:hAnsi="Times New Roman" w:cs="Times New Roman"/>
        </w:rPr>
        <w:t xml:space="preserve">AAMR </w:t>
      </w:r>
      <w:r w:rsidR="00393529">
        <w:rPr>
          <w:rFonts w:ascii="Times New Roman" w:hAnsi="Times New Roman" w:cs="Times New Roman"/>
        </w:rPr>
        <w:t xml:space="preserve">for osteomyelitis </w:t>
      </w:r>
      <w:r w:rsidR="00DC1D1C">
        <w:rPr>
          <w:rFonts w:ascii="Times New Roman" w:hAnsi="Times New Roman" w:cs="Times New Roman"/>
        </w:rPr>
        <w:t>as a contributing cause of death</w:t>
      </w:r>
      <w:r w:rsidR="00393529">
        <w:rPr>
          <w:rFonts w:ascii="Times New Roman" w:hAnsi="Times New Roman" w:cs="Times New Roman"/>
        </w:rPr>
        <w:t xml:space="preserve"> rose from </w:t>
      </w:r>
      <w:r w:rsidR="004F3DFD">
        <w:rPr>
          <w:rFonts w:ascii="Times New Roman" w:hAnsi="Times New Roman" w:cs="Times New Roman"/>
        </w:rPr>
        <w:t>0.88 (95% Confidence Interval [95% CI]</w:t>
      </w:r>
      <w:r w:rsidR="004A0CD5">
        <w:rPr>
          <w:rFonts w:ascii="Times New Roman" w:hAnsi="Times New Roman" w:cs="Times New Roman"/>
        </w:rPr>
        <w:t xml:space="preserve">: 0.85 – 0.92) </w:t>
      </w:r>
      <w:r w:rsidR="003D6773">
        <w:rPr>
          <w:rFonts w:ascii="Times New Roman" w:hAnsi="Times New Roman" w:cs="Times New Roman"/>
        </w:rPr>
        <w:t xml:space="preserve">per 100,000 in 1999 </w:t>
      </w:r>
      <w:r w:rsidR="002A08C0">
        <w:rPr>
          <w:rFonts w:ascii="Times New Roman" w:hAnsi="Times New Roman" w:cs="Times New Roman"/>
        </w:rPr>
        <w:t xml:space="preserve">to </w:t>
      </w:r>
      <w:r w:rsidR="003D6773">
        <w:rPr>
          <w:rFonts w:ascii="Times New Roman" w:hAnsi="Times New Roman" w:cs="Times New Roman"/>
        </w:rPr>
        <w:t xml:space="preserve">1.81 </w:t>
      </w:r>
      <w:r w:rsidR="00A65090">
        <w:rPr>
          <w:rFonts w:ascii="Times New Roman" w:hAnsi="Times New Roman" w:cs="Times New Roman"/>
        </w:rPr>
        <w:t>(95% CI: 1.76 – 1.85) per 100,000 in 2020</w:t>
      </w:r>
      <w:r w:rsidR="00977B0C">
        <w:rPr>
          <w:rFonts w:ascii="Times New Roman" w:hAnsi="Times New Roman" w:cs="Times New Roman"/>
        </w:rPr>
        <w:t xml:space="preserve">, resulting in an </w:t>
      </w:r>
      <w:r w:rsidR="00B06DCB">
        <w:rPr>
          <w:rFonts w:ascii="Times New Roman" w:hAnsi="Times New Roman" w:cs="Times New Roman"/>
        </w:rPr>
        <w:t xml:space="preserve">APC of </w:t>
      </w:r>
      <w:r w:rsidR="00073766">
        <w:rPr>
          <w:rFonts w:ascii="Times New Roman" w:hAnsi="Times New Roman" w:cs="Times New Roman"/>
        </w:rPr>
        <w:t>2.57% (p &lt; 0.01)</w:t>
      </w:r>
      <w:r w:rsidR="00AC3C48">
        <w:rPr>
          <w:rFonts w:ascii="Times New Roman" w:hAnsi="Times New Roman" w:cs="Times New Roman"/>
        </w:rPr>
        <w:t xml:space="preserve"> (</w:t>
      </w:r>
      <w:r w:rsidR="00AC3C48">
        <w:rPr>
          <w:rFonts w:ascii="Times New Roman" w:hAnsi="Times New Roman" w:cs="Times New Roman"/>
          <w:b/>
          <w:bCs/>
        </w:rPr>
        <w:t>Figure 1</w:t>
      </w:r>
      <w:r w:rsidR="00AC3C48">
        <w:rPr>
          <w:rFonts w:ascii="Times New Roman" w:hAnsi="Times New Roman" w:cs="Times New Roman"/>
        </w:rPr>
        <w:t xml:space="preserve">). </w:t>
      </w:r>
      <w:r w:rsidR="00AE6CBF">
        <w:rPr>
          <w:rFonts w:ascii="Times New Roman" w:hAnsi="Times New Roman" w:cs="Times New Roman"/>
        </w:rPr>
        <w:t>Male and female persons showed differences in</w:t>
      </w:r>
      <w:r w:rsidR="009D6986">
        <w:rPr>
          <w:rFonts w:ascii="Times New Roman" w:hAnsi="Times New Roman" w:cs="Times New Roman"/>
        </w:rPr>
        <w:t xml:space="preserve"> how their </w:t>
      </w:r>
      <w:r w:rsidR="00932B52">
        <w:rPr>
          <w:rFonts w:ascii="Times New Roman" w:hAnsi="Times New Roman" w:cs="Times New Roman"/>
        </w:rPr>
        <w:t>AAMRs changed over the study period</w:t>
      </w:r>
      <w:r w:rsidR="008961B7">
        <w:rPr>
          <w:rFonts w:ascii="Times New Roman" w:hAnsi="Times New Roman" w:cs="Times New Roman"/>
        </w:rPr>
        <w:t xml:space="preserve"> (</w:t>
      </w:r>
      <w:r w:rsidR="008E1450">
        <w:rPr>
          <w:rFonts w:ascii="Times New Roman" w:hAnsi="Times New Roman" w:cs="Times New Roman"/>
          <w:b/>
          <w:bCs/>
        </w:rPr>
        <w:t>Figure 2</w:t>
      </w:r>
      <w:r w:rsidR="008E1450">
        <w:rPr>
          <w:rFonts w:ascii="Times New Roman" w:hAnsi="Times New Roman" w:cs="Times New Roman"/>
        </w:rPr>
        <w:t>).</w:t>
      </w:r>
      <w:r w:rsidR="000B6AB9">
        <w:rPr>
          <w:rFonts w:ascii="Times New Roman" w:hAnsi="Times New Roman" w:cs="Times New Roman"/>
        </w:rPr>
        <w:t xml:space="preserve"> </w:t>
      </w:r>
      <w:r w:rsidR="00813BF0">
        <w:rPr>
          <w:rFonts w:ascii="Times New Roman" w:hAnsi="Times New Roman" w:cs="Times New Roman"/>
        </w:rPr>
        <w:t xml:space="preserve">For male persons, </w:t>
      </w:r>
      <w:r w:rsidR="00AA1B71">
        <w:rPr>
          <w:rFonts w:ascii="Times New Roman" w:hAnsi="Times New Roman" w:cs="Times New Roman"/>
        </w:rPr>
        <w:t>AAMR</w:t>
      </w:r>
      <w:r w:rsidR="001B7F52">
        <w:rPr>
          <w:rFonts w:ascii="Times New Roman" w:hAnsi="Times New Roman" w:cs="Times New Roman"/>
        </w:rPr>
        <w:t xml:space="preserve">s rose from </w:t>
      </w:r>
      <w:r w:rsidR="00D71DFD">
        <w:rPr>
          <w:rFonts w:ascii="Times New Roman" w:hAnsi="Times New Roman" w:cs="Times New Roman"/>
        </w:rPr>
        <w:t xml:space="preserve">1.07 (95% CI: 1 – 1.13) </w:t>
      </w:r>
      <w:r w:rsidR="009C1E46">
        <w:rPr>
          <w:rFonts w:ascii="Times New Roman" w:hAnsi="Times New Roman" w:cs="Times New Roman"/>
        </w:rPr>
        <w:t xml:space="preserve">per 100,000 in 1999 to </w:t>
      </w:r>
      <w:r w:rsidR="008B41E2">
        <w:rPr>
          <w:rFonts w:ascii="Times New Roman" w:hAnsi="Times New Roman" w:cs="Times New Roman"/>
        </w:rPr>
        <w:t xml:space="preserve">2.47 (95% CI: </w:t>
      </w:r>
      <w:r w:rsidR="008A727D">
        <w:rPr>
          <w:rFonts w:ascii="Times New Roman" w:hAnsi="Times New Roman" w:cs="Times New Roman"/>
        </w:rPr>
        <w:t>2.39 – 2.54) per 100,000</w:t>
      </w:r>
      <w:r w:rsidR="008A1C92">
        <w:rPr>
          <w:rFonts w:ascii="Times New Roman" w:hAnsi="Times New Roman" w:cs="Times New Roman"/>
        </w:rPr>
        <w:t xml:space="preserve">, resulting in </w:t>
      </w:r>
      <w:r w:rsidR="00DC740D">
        <w:rPr>
          <w:rFonts w:ascii="Times New Roman" w:hAnsi="Times New Roman" w:cs="Times New Roman"/>
        </w:rPr>
        <w:t xml:space="preserve">an APC of </w:t>
      </w:r>
      <w:r w:rsidR="00B64DC7">
        <w:rPr>
          <w:rFonts w:ascii="Times New Roman" w:hAnsi="Times New Roman" w:cs="Times New Roman"/>
        </w:rPr>
        <w:t>3.1% (p &lt; 0.01).</w:t>
      </w:r>
      <w:r w:rsidR="00316DBB">
        <w:rPr>
          <w:rFonts w:ascii="Times New Roman" w:hAnsi="Times New Roman" w:cs="Times New Roman"/>
        </w:rPr>
        <w:t xml:space="preserve"> In female persons, </w:t>
      </w:r>
      <w:r w:rsidR="004B5A51">
        <w:rPr>
          <w:rFonts w:ascii="Times New Roman" w:hAnsi="Times New Roman" w:cs="Times New Roman"/>
        </w:rPr>
        <w:t xml:space="preserve">AAMRs rose from </w:t>
      </w:r>
      <w:r w:rsidR="00533EFF">
        <w:rPr>
          <w:rFonts w:ascii="Times New Roman" w:hAnsi="Times New Roman" w:cs="Times New Roman"/>
        </w:rPr>
        <w:t xml:space="preserve">0.77 (95% CI: 0.72 – 0.81) per 100,000 in 1999 to </w:t>
      </w:r>
      <w:r w:rsidR="00EA6329">
        <w:rPr>
          <w:rFonts w:ascii="Times New Roman" w:hAnsi="Times New Roman" w:cs="Times New Roman"/>
        </w:rPr>
        <w:t>1.27 (</w:t>
      </w:r>
      <w:r w:rsidR="000537CE">
        <w:rPr>
          <w:rFonts w:ascii="Times New Roman" w:hAnsi="Times New Roman" w:cs="Times New Roman"/>
        </w:rPr>
        <w:t xml:space="preserve">95% CI: </w:t>
      </w:r>
      <w:r w:rsidR="001B6DC0">
        <w:rPr>
          <w:rFonts w:ascii="Times New Roman" w:hAnsi="Times New Roman" w:cs="Times New Roman"/>
        </w:rPr>
        <w:t>1.22 – 1.32</w:t>
      </w:r>
      <w:r w:rsidR="00120961">
        <w:rPr>
          <w:rFonts w:ascii="Times New Roman" w:hAnsi="Times New Roman" w:cs="Times New Roman"/>
        </w:rPr>
        <w:t xml:space="preserve">), leading to an APC of </w:t>
      </w:r>
      <w:r w:rsidR="0035603E">
        <w:rPr>
          <w:rFonts w:ascii="Times New Roman" w:hAnsi="Times New Roman" w:cs="Times New Roman"/>
        </w:rPr>
        <w:t xml:space="preserve">1.47% (p &lt; 0.01). </w:t>
      </w:r>
      <w:r w:rsidR="00616648">
        <w:rPr>
          <w:rFonts w:ascii="Times New Roman" w:hAnsi="Times New Roman" w:cs="Times New Roman"/>
        </w:rPr>
        <w:t>Racial groups also showed differences in their trends in AAMR over the study period (</w:t>
      </w:r>
      <w:r w:rsidR="00616648">
        <w:rPr>
          <w:rFonts w:ascii="Times New Roman" w:hAnsi="Times New Roman" w:cs="Times New Roman"/>
          <w:b/>
          <w:bCs/>
        </w:rPr>
        <w:t>Figure 3</w:t>
      </w:r>
      <w:r w:rsidR="00616648">
        <w:rPr>
          <w:rFonts w:ascii="Times New Roman" w:hAnsi="Times New Roman" w:cs="Times New Roman"/>
        </w:rPr>
        <w:t xml:space="preserve">). </w:t>
      </w:r>
      <w:r w:rsidR="00296DB0">
        <w:rPr>
          <w:rFonts w:ascii="Times New Roman" w:hAnsi="Times New Roman" w:cs="Times New Roman"/>
        </w:rPr>
        <w:t xml:space="preserve">Native American </w:t>
      </w:r>
      <w:r w:rsidR="005F2061">
        <w:rPr>
          <w:rFonts w:ascii="Times New Roman" w:hAnsi="Times New Roman" w:cs="Times New Roman"/>
        </w:rPr>
        <w:t xml:space="preserve">persons </w:t>
      </w:r>
      <w:r w:rsidR="0076404A">
        <w:rPr>
          <w:rFonts w:ascii="Times New Roman" w:hAnsi="Times New Roman" w:cs="Times New Roman"/>
        </w:rPr>
        <w:t xml:space="preserve">showed </w:t>
      </w:r>
      <w:r w:rsidR="00116E72">
        <w:rPr>
          <w:rFonts w:ascii="Times New Roman" w:hAnsi="Times New Roman" w:cs="Times New Roman"/>
        </w:rPr>
        <w:t xml:space="preserve">the greatest increase in their AAMRs over the study period, from </w:t>
      </w:r>
      <w:r w:rsidR="00BE1393">
        <w:rPr>
          <w:rFonts w:ascii="Times New Roman" w:hAnsi="Times New Roman" w:cs="Times New Roman"/>
        </w:rPr>
        <w:t>1.62 (</w:t>
      </w:r>
      <w:r w:rsidR="00E34C4D">
        <w:rPr>
          <w:rFonts w:ascii="Times New Roman" w:hAnsi="Times New Roman" w:cs="Times New Roman"/>
        </w:rPr>
        <w:t xml:space="preserve">95% CI: </w:t>
      </w:r>
      <w:r w:rsidR="00CF65FF">
        <w:rPr>
          <w:rFonts w:ascii="Times New Roman" w:hAnsi="Times New Roman" w:cs="Times New Roman"/>
        </w:rPr>
        <w:t>1 – 2.47) per 100,000</w:t>
      </w:r>
      <w:r w:rsidR="00FD1A72">
        <w:rPr>
          <w:rFonts w:ascii="Times New Roman" w:hAnsi="Times New Roman" w:cs="Times New Roman"/>
        </w:rPr>
        <w:t xml:space="preserve"> </w:t>
      </w:r>
      <w:r w:rsidR="00C7371E">
        <w:rPr>
          <w:rFonts w:ascii="Times New Roman" w:hAnsi="Times New Roman" w:cs="Times New Roman"/>
        </w:rPr>
        <w:t xml:space="preserve">in </w:t>
      </w:r>
      <w:r w:rsidR="00F62880">
        <w:rPr>
          <w:rFonts w:ascii="Times New Roman" w:hAnsi="Times New Roman" w:cs="Times New Roman"/>
        </w:rPr>
        <w:t xml:space="preserve">2003, when </w:t>
      </w:r>
      <w:r w:rsidR="00582A1D">
        <w:rPr>
          <w:rFonts w:ascii="Times New Roman" w:hAnsi="Times New Roman" w:cs="Times New Roman"/>
        </w:rPr>
        <w:t>estimates were first reliable</w:t>
      </w:r>
      <w:r w:rsidR="00F52261">
        <w:rPr>
          <w:rFonts w:ascii="Times New Roman" w:hAnsi="Times New Roman" w:cs="Times New Roman"/>
        </w:rPr>
        <w:t xml:space="preserve">, to </w:t>
      </w:r>
      <w:r w:rsidR="00D04AF8">
        <w:rPr>
          <w:rFonts w:ascii="Times New Roman" w:hAnsi="Times New Roman" w:cs="Times New Roman"/>
        </w:rPr>
        <w:t xml:space="preserve">2.53 </w:t>
      </w:r>
      <w:r w:rsidR="00452FE1">
        <w:rPr>
          <w:rFonts w:ascii="Times New Roman" w:hAnsi="Times New Roman" w:cs="Times New Roman"/>
        </w:rPr>
        <w:t xml:space="preserve">(95% CI: </w:t>
      </w:r>
      <w:r w:rsidR="00517531">
        <w:rPr>
          <w:rFonts w:ascii="Times New Roman" w:hAnsi="Times New Roman" w:cs="Times New Roman"/>
        </w:rPr>
        <w:t xml:space="preserve">2.02 – 3.05) per 100,000 in </w:t>
      </w:r>
      <w:r w:rsidR="00221002">
        <w:rPr>
          <w:rFonts w:ascii="Times New Roman" w:hAnsi="Times New Roman" w:cs="Times New Roman"/>
        </w:rPr>
        <w:t>2020</w:t>
      </w:r>
      <w:r w:rsidR="00C7592E">
        <w:rPr>
          <w:rFonts w:ascii="Times New Roman" w:hAnsi="Times New Roman" w:cs="Times New Roman"/>
        </w:rPr>
        <w:t xml:space="preserve">, </w:t>
      </w:r>
      <w:r w:rsidR="0071171A">
        <w:rPr>
          <w:rFonts w:ascii="Times New Roman" w:hAnsi="Times New Roman" w:cs="Times New Roman"/>
        </w:rPr>
        <w:t xml:space="preserve">resulting in an APC of </w:t>
      </w:r>
      <w:r w:rsidR="0027192C">
        <w:rPr>
          <w:rFonts w:ascii="Times New Roman" w:hAnsi="Times New Roman" w:cs="Times New Roman"/>
        </w:rPr>
        <w:t>3.26%.</w:t>
      </w:r>
      <w:r w:rsidR="0064402F">
        <w:rPr>
          <w:rFonts w:ascii="Times New Roman" w:hAnsi="Times New Roman" w:cs="Times New Roman"/>
        </w:rPr>
        <w:t xml:space="preserve"> They were followed by White persons with an APC of </w:t>
      </w:r>
      <w:r w:rsidR="00BE33DB">
        <w:rPr>
          <w:rFonts w:ascii="Times New Roman" w:hAnsi="Times New Roman" w:cs="Times New Roman"/>
        </w:rPr>
        <w:t>2.58% (</w:t>
      </w:r>
      <w:r w:rsidR="004006CA">
        <w:rPr>
          <w:rFonts w:ascii="Times New Roman" w:hAnsi="Times New Roman" w:cs="Times New Roman"/>
        </w:rPr>
        <w:t xml:space="preserve">0.81 [95% CI: 0.77 – 0.84] per 100,000 in </w:t>
      </w:r>
      <w:r w:rsidR="002A4DEF">
        <w:rPr>
          <w:rFonts w:ascii="Times New Roman" w:hAnsi="Times New Roman" w:cs="Times New Roman"/>
        </w:rPr>
        <w:t xml:space="preserve">1999 to </w:t>
      </w:r>
      <w:r w:rsidR="00CE3AD9">
        <w:rPr>
          <w:rFonts w:ascii="Times New Roman" w:hAnsi="Times New Roman" w:cs="Times New Roman"/>
        </w:rPr>
        <w:t>1.69</w:t>
      </w:r>
      <w:r w:rsidR="00B95B6C">
        <w:rPr>
          <w:rFonts w:ascii="Times New Roman" w:hAnsi="Times New Roman" w:cs="Times New Roman"/>
        </w:rPr>
        <w:t xml:space="preserve"> [95% CI: </w:t>
      </w:r>
      <w:r w:rsidR="008E245E">
        <w:rPr>
          <w:rFonts w:ascii="Times New Roman" w:hAnsi="Times New Roman" w:cs="Times New Roman"/>
        </w:rPr>
        <w:t>1.65 – 1.73] per 100,000 in 2020</w:t>
      </w:r>
      <w:r w:rsidR="00914A1C">
        <w:rPr>
          <w:rFonts w:ascii="Times New Roman" w:hAnsi="Times New Roman" w:cs="Times New Roman"/>
        </w:rPr>
        <w:t xml:space="preserve">; </w:t>
      </w:r>
      <w:r w:rsidR="00E9190B">
        <w:rPr>
          <w:rFonts w:ascii="Times New Roman" w:hAnsi="Times New Roman" w:cs="Times New Roman"/>
        </w:rPr>
        <w:t>p &lt; 0.01</w:t>
      </w:r>
      <w:r w:rsidR="007F7092">
        <w:rPr>
          <w:rFonts w:ascii="Times New Roman" w:hAnsi="Times New Roman" w:cs="Times New Roman"/>
        </w:rPr>
        <w:t>)</w:t>
      </w:r>
      <w:r w:rsidR="00392FC4">
        <w:rPr>
          <w:rFonts w:ascii="Times New Roman" w:hAnsi="Times New Roman" w:cs="Times New Roman"/>
        </w:rPr>
        <w:t xml:space="preserve">, </w:t>
      </w:r>
      <w:r w:rsidR="00E9190B">
        <w:rPr>
          <w:rFonts w:ascii="Times New Roman" w:hAnsi="Times New Roman" w:cs="Times New Roman"/>
        </w:rPr>
        <w:t xml:space="preserve">and Black persons </w:t>
      </w:r>
      <w:r w:rsidR="009729D3">
        <w:rPr>
          <w:rFonts w:ascii="Times New Roman" w:hAnsi="Times New Roman" w:cs="Times New Roman"/>
        </w:rPr>
        <w:t xml:space="preserve">with an APC of </w:t>
      </w:r>
      <w:r w:rsidR="006A6631">
        <w:rPr>
          <w:rFonts w:ascii="Times New Roman" w:hAnsi="Times New Roman" w:cs="Times New Roman"/>
        </w:rPr>
        <w:t xml:space="preserve">1.35% </w:t>
      </w:r>
      <w:r w:rsidR="00071B24">
        <w:rPr>
          <w:rFonts w:ascii="Times New Roman" w:hAnsi="Times New Roman" w:cs="Times New Roman"/>
        </w:rPr>
        <w:t>(</w:t>
      </w:r>
      <w:r w:rsidR="00850FED">
        <w:rPr>
          <w:rFonts w:ascii="Times New Roman" w:hAnsi="Times New Roman" w:cs="Times New Roman"/>
        </w:rPr>
        <w:t>1.77 [</w:t>
      </w:r>
      <w:r w:rsidR="00461666">
        <w:rPr>
          <w:rFonts w:ascii="Times New Roman" w:hAnsi="Times New Roman" w:cs="Times New Roman"/>
        </w:rPr>
        <w:t xml:space="preserve">95% CI: </w:t>
      </w:r>
      <w:r w:rsidR="00352F7E">
        <w:rPr>
          <w:rFonts w:ascii="Times New Roman" w:hAnsi="Times New Roman" w:cs="Times New Roman"/>
        </w:rPr>
        <w:t xml:space="preserve">1.6 – 1.95] per 100,000 in 1999 to </w:t>
      </w:r>
      <w:r w:rsidR="00A61BBC">
        <w:rPr>
          <w:rFonts w:ascii="Times New Roman" w:hAnsi="Times New Roman" w:cs="Times New Roman"/>
        </w:rPr>
        <w:t>3.15 [</w:t>
      </w:r>
      <w:r w:rsidR="00F32160">
        <w:rPr>
          <w:rFonts w:ascii="Times New Roman" w:hAnsi="Times New Roman" w:cs="Times New Roman"/>
        </w:rPr>
        <w:t xml:space="preserve">95% CI: </w:t>
      </w:r>
      <w:r w:rsidR="000278ED">
        <w:rPr>
          <w:rFonts w:ascii="Times New Roman" w:hAnsi="Times New Roman" w:cs="Times New Roman"/>
        </w:rPr>
        <w:t xml:space="preserve">2.98 – 3.33] per 100,000 in 2020; p &lt; 0.01). </w:t>
      </w:r>
      <w:r w:rsidR="00640E0A">
        <w:rPr>
          <w:rFonts w:ascii="Times New Roman" w:hAnsi="Times New Roman" w:cs="Times New Roman"/>
        </w:rPr>
        <w:t xml:space="preserve">Asian persons demonstrated no significant change in their mortality rates over the study period. </w:t>
      </w:r>
    </w:p>
    <w:p w14:paraId="031F4B71" w14:textId="1F0FB793" w:rsidR="00D03BBB" w:rsidRPr="00616648" w:rsidRDefault="00F06E08" w:rsidP="00676552">
      <w:pPr>
        <w:spacing w:after="0" w:line="480" w:lineRule="auto"/>
        <w:rPr>
          <w:rFonts w:ascii="Times New Roman" w:hAnsi="Times New Roman" w:cs="Times New Roman"/>
        </w:rPr>
      </w:pPr>
      <w:r>
        <w:rPr>
          <w:rFonts w:ascii="Times New Roman" w:hAnsi="Times New Roman" w:cs="Times New Roman"/>
        </w:rPr>
        <w:tab/>
      </w:r>
      <w:r w:rsidR="00060D50">
        <w:rPr>
          <w:rFonts w:ascii="Times New Roman" w:eastAsia="Times New Roman" w:hAnsi="Times New Roman" w:cs="Times New Roman"/>
        </w:rPr>
        <w:t>Overall, male persons demonstrated significantly higher AAMRs than female persons (1.52 per 100,000 vs. 0.88 per 100,000) and Black persons had significantly higher AAMRs (2.08 per 100,000) than Native American (1.61 per 100,000), White (1.09 per 100,000), and Asian persons (0.46 per 100,000) (</w:t>
      </w:r>
      <w:r w:rsidR="00060D50" w:rsidRPr="00BE1416">
        <w:rPr>
          <w:rFonts w:ascii="Times New Roman" w:eastAsia="Times New Roman" w:hAnsi="Times New Roman" w:cs="Times New Roman"/>
          <w:b/>
          <w:bCs/>
        </w:rPr>
        <w:t>Figure 4</w:t>
      </w:r>
      <w:r w:rsidR="00060D50">
        <w:rPr>
          <w:rFonts w:ascii="Times New Roman" w:eastAsia="Times New Roman" w:hAnsi="Times New Roman" w:cs="Times New Roman"/>
        </w:rPr>
        <w:t xml:space="preserve">). </w:t>
      </w:r>
    </w:p>
    <w:p w14:paraId="581011EB" w14:textId="77777777" w:rsidR="00AE6CBF" w:rsidRDefault="00AE6CBF" w:rsidP="00676552">
      <w:pPr>
        <w:spacing w:after="0" w:line="480" w:lineRule="auto"/>
        <w:rPr>
          <w:rFonts w:ascii="Times New Roman" w:hAnsi="Times New Roman" w:cs="Times New Roman"/>
        </w:rPr>
      </w:pPr>
    </w:p>
    <w:p w14:paraId="49A1DCF9" w14:textId="51500AE9" w:rsidR="00676552" w:rsidRDefault="00676552" w:rsidP="00676552">
      <w:pPr>
        <w:spacing w:after="0" w:line="480" w:lineRule="auto"/>
        <w:rPr>
          <w:rFonts w:ascii="Times New Roman" w:hAnsi="Times New Roman" w:cs="Times New Roman"/>
          <w:b/>
          <w:bCs/>
        </w:rPr>
      </w:pPr>
      <w:r w:rsidRPr="0055472F">
        <w:rPr>
          <w:rFonts w:ascii="Times New Roman" w:hAnsi="Times New Roman" w:cs="Times New Roman"/>
          <w:b/>
          <w:bCs/>
        </w:rPr>
        <w:t>Discussion</w:t>
      </w:r>
    </w:p>
    <w:p w14:paraId="1A1FD1BC" w14:textId="51BDC61A" w:rsidR="00AA2FF5" w:rsidRDefault="00AA2FF5">
      <w:pPr>
        <w:rPr>
          <w:rFonts w:ascii="Times New Roman" w:hAnsi="Times New Roman" w:cs="Times New Roman"/>
        </w:rPr>
      </w:pPr>
      <w:r>
        <w:rPr>
          <w:rFonts w:ascii="Times New Roman" w:hAnsi="Times New Roman" w:cs="Times New Roman"/>
        </w:rPr>
        <w:br w:type="page"/>
      </w:r>
    </w:p>
    <w:p w14:paraId="7865C51C" w14:textId="5103E5A7" w:rsidR="00AA2FF5" w:rsidRDefault="00AA2FF5" w:rsidP="00676552">
      <w:pPr>
        <w:spacing w:after="0" w:line="480" w:lineRule="auto"/>
        <w:rPr>
          <w:rFonts w:ascii="Times New Roman" w:hAnsi="Times New Roman" w:cs="Times New Roman"/>
        </w:rPr>
      </w:pPr>
      <w:r>
        <w:rPr>
          <w:rFonts w:ascii="Times New Roman" w:hAnsi="Times New Roman" w:cs="Times New Roman"/>
          <w:b/>
          <w:bCs/>
        </w:rPr>
        <w:lastRenderedPageBreak/>
        <w:t>References</w:t>
      </w:r>
    </w:p>
    <w:p w14:paraId="4A3DF206" w14:textId="77777777" w:rsidR="00080BA5" w:rsidRPr="00080BA5" w:rsidRDefault="00724F3D" w:rsidP="00080BA5">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080BA5" w:rsidRPr="00080BA5">
        <w:rPr>
          <w:rFonts w:ascii="Times New Roman" w:hAnsi="Times New Roman" w:cs="Times New Roman"/>
        </w:rPr>
        <w:t>1.</w:t>
      </w:r>
      <w:r w:rsidR="00080BA5" w:rsidRPr="00080BA5">
        <w:rPr>
          <w:rFonts w:ascii="Times New Roman" w:hAnsi="Times New Roman" w:cs="Times New Roman"/>
        </w:rPr>
        <w:tab/>
        <w:t xml:space="preserve">Hofstee MI, Muthukrishnan G, Atkins GJ, et al. Current Concepts of Osteomyelitis: From Pathologic Mechanisms to Advanced Research Methods. </w:t>
      </w:r>
      <w:r w:rsidR="00080BA5" w:rsidRPr="00080BA5">
        <w:rPr>
          <w:rFonts w:ascii="Times New Roman" w:hAnsi="Times New Roman" w:cs="Times New Roman"/>
          <w:i/>
          <w:iCs/>
        </w:rPr>
        <w:t>The American Journal of Pathology</w:t>
      </w:r>
      <w:r w:rsidR="00080BA5" w:rsidRPr="00080BA5">
        <w:rPr>
          <w:rFonts w:ascii="Times New Roman" w:hAnsi="Times New Roman" w:cs="Times New Roman"/>
        </w:rPr>
        <w:t>. 2020;190(6):1151-1163. doi:10.1016/j.ajpath.2020.02.007</w:t>
      </w:r>
    </w:p>
    <w:p w14:paraId="457ABE19"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2.</w:t>
      </w:r>
      <w:r w:rsidRPr="00080BA5">
        <w:rPr>
          <w:rFonts w:ascii="Times New Roman" w:hAnsi="Times New Roman" w:cs="Times New Roman"/>
        </w:rPr>
        <w:tab/>
        <w:t xml:space="preserve">Bury DC, Rogers TS, Dickman MM. Osteomyelitis: Diagnosis and Treatment. </w:t>
      </w:r>
      <w:r w:rsidRPr="00080BA5">
        <w:rPr>
          <w:rFonts w:ascii="Times New Roman" w:hAnsi="Times New Roman" w:cs="Times New Roman"/>
          <w:i/>
          <w:iCs/>
        </w:rPr>
        <w:t>Am Fam Physician</w:t>
      </w:r>
      <w:r w:rsidRPr="00080BA5">
        <w:rPr>
          <w:rFonts w:ascii="Times New Roman" w:hAnsi="Times New Roman" w:cs="Times New Roman"/>
        </w:rPr>
        <w:t>. 2021;104(4):395-402.</w:t>
      </w:r>
    </w:p>
    <w:p w14:paraId="10DBB0D5"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3.</w:t>
      </w:r>
      <w:r w:rsidRPr="00080BA5">
        <w:rPr>
          <w:rFonts w:ascii="Times New Roman" w:hAnsi="Times New Roman" w:cs="Times New Roman"/>
        </w:rPr>
        <w:tab/>
        <w:t xml:space="preserve">Masters EA, Trombetta RP, de Mesy Bentley KL, et al. Evolving concepts in bone infection: redefining “biofilm”, “acute vs. chronic osteomyelitis”, “the immune proteome” and “local antibiotic therapy.” </w:t>
      </w:r>
      <w:r w:rsidRPr="00080BA5">
        <w:rPr>
          <w:rFonts w:ascii="Times New Roman" w:hAnsi="Times New Roman" w:cs="Times New Roman"/>
          <w:i/>
          <w:iCs/>
        </w:rPr>
        <w:t>Bone Res</w:t>
      </w:r>
      <w:r w:rsidRPr="00080BA5">
        <w:rPr>
          <w:rFonts w:ascii="Times New Roman" w:hAnsi="Times New Roman" w:cs="Times New Roman"/>
        </w:rPr>
        <w:t>. 2019;7:20. doi:10.1038/s41413-019-0061-z</w:t>
      </w:r>
    </w:p>
    <w:p w14:paraId="571B967F"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4.</w:t>
      </w:r>
      <w:r w:rsidRPr="00080BA5">
        <w:rPr>
          <w:rFonts w:ascii="Times New Roman" w:hAnsi="Times New Roman" w:cs="Times New Roman"/>
        </w:rPr>
        <w:tab/>
        <w:t xml:space="preserve">Johnson MJ, Shumway N, Bivins M, Bessesen MT. Outcomes of Limb-Sparing Surgery for Osteomyelitis in the Diabetic Foot: Importance of the Histopathologic Margin. </w:t>
      </w:r>
      <w:r w:rsidRPr="00080BA5">
        <w:rPr>
          <w:rFonts w:ascii="Times New Roman" w:hAnsi="Times New Roman" w:cs="Times New Roman"/>
          <w:i/>
          <w:iCs/>
        </w:rPr>
        <w:t>Open Forum Infect Dis</w:t>
      </w:r>
      <w:r w:rsidRPr="00080BA5">
        <w:rPr>
          <w:rFonts w:ascii="Times New Roman" w:hAnsi="Times New Roman" w:cs="Times New Roman"/>
        </w:rPr>
        <w:t>. 2019;6(10):ofz382. doi:10.1093/ofid/ofz382</w:t>
      </w:r>
    </w:p>
    <w:p w14:paraId="58696C0A"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5.</w:t>
      </w:r>
      <w:r w:rsidRPr="00080BA5">
        <w:rPr>
          <w:rFonts w:ascii="Times New Roman" w:hAnsi="Times New Roman" w:cs="Times New Roman"/>
        </w:rPr>
        <w:tab/>
        <w:t xml:space="preserve">Norris BL, Vanderkarr M, Sparks C, Chitnis AS, Ray B, Holy CE. Treatments, cost and healthcare utilization of patients with segmental bone defects. </w:t>
      </w:r>
      <w:r w:rsidRPr="00080BA5">
        <w:rPr>
          <w:rFonts w:ascii="Times New Roman" w:hAnsi="Times New Roman" w:cs="Times New Roman"/>
          <w:i/>
          <w:iCs/>
        </w:rPr>
        <w:t>Injury</w:t>
      </w:r>
      <w:r w:rsidRPr="00080BA5">
        <w:rPr>
          <w:rFonts w:ascii="Times New Roman" w:hAnsi="Times New Roman" w:cs="Times New Roman"/>
        </w:rPr>
        <w:t>. 2021;52(10):2935-2940. doi:10.1016/j.injury.2021.01.016</w:t>
      </w:r>
    </w:p>
    <w:p w14:paraId="5F6296AB"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6.</w:t>
      </w:r>
      <w:r w:rsidRPr="00080BA5">
        <w:rPr>
          <w:rFonts w:ascii="Times New Roman" w:hAnsi="Times New Roman" w:cs="Times New Roman"/>
        </w:rPr>
        <w:tab/>
        <w:t>Osteomyelitis | Bone Infection Symptoms, Causes, Treatment. Accessed May 15, 2025. https://rarediseases.org/rare-diseases/osteomyelitis/</w:t>
      </w:r>
    </w:p>
    <w:p w14:paraId="643B128F"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7.</w:t>
      </w:r>
      <w:r w:rsidRPr="00080BA5">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080BA5">
        <w:rPr>
          <w:rFonts w:ascii="Times New Roman" w:hAnsi="Times New Roman" w:cs="Times New Roman"/>
          <w:i/>
          <w:iCs/>
        </w:rPr>
        <w:t>International Journal of Endocrinology</w:t>
      </w:r>
      <w:r w:rsidRPr="00080BA5">
        <w:rPr>
          <w:rFonts w:ascii="Times New Roman" w:hAnsi="Times New Roman" w:cs="Times New Roman"/>
        </w:rPr>
        <w:t>. 2020;2020(1):8821978. doi:10.1155/2020/8821978</w:t>
      </w:r>
    </w:p>
    <w:p w14:paraId="4943DC21"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8.</w:t>
      </w:r>
      <w:r w:rsidRPr="00080BA5">
        <w:rPr>
          <w:rFonts w:ascii="Times New Roman" w:hAnsi="Times New Roman" w:cs="Times New Roman"/>
        </w:rPr>
        <w:tab/>
        <w:t>Centers for Disease Control and Prevention. CDC WONDER. Centers for Disease Control and Prevention. April 8, 2025. Accessed April 15, 2025. https://wonder.cdc.gov/</w:t>
      </w:r>
    </w:p>
    <w:p w14:paraId="4B60B235" w14:textId="77777777" w:rsidR="00080BA5" w:rsidRPr="00080BA5" w:rsidRDefault="00080BA5" w:rsidP="00080BA5">
      <w:pPr>
        <w:pStyle w:val="Bibliography"/>
        <w:rPr>
          <w:rFonts w:ascii="Times New Roman" w:hAnsi="Times New Roman" w:cs="Times New Roman"/>
        </w:rPr>
      </w:pPr>
      <w:r w:rsidRPr="00080BA5">
        <w:rPr>
          <w:rFonts w:ascii="Times New Roman" w:hAnsi="Times New Roman" w:cs="Times New Roman"/>
        </w:rPr>
        <w:t>9.</w:t>
      </w:r>
      <w:r w:rsidRPr="00080BA5">
        <w:rPr>
          <w:rFonts w:ascii="Times New Roman" w:hAnsi="Times New Roman" w:cs="Times New Roman"/>
        </w:rPr>
        <w:tab/>
        <w:t>WONDER Help. CDC WONDER. April 8, 2025. Accessed April 15, 2025. https://wonder.cdc.gov/wonder/help/main.html</w:t>
      </w:r>
    </w:p>
    <w:p w14:paraId="70D1DC69" w14:textId="57A17B63" w:rsidR="00FC2F1E" w:rsidRDefault="00724F3D" w:rsidP="00080BA5">
      <w:pPr>
        <w:pStyle w:val="Bibliography"/>
        <w:rPr>
          <w:rFonts w:ascii="Times New Roman" w:hAnsi="Times New Roman" w:cs="Times New Roman"/>
        </w:rPr>
      </w:pPr>
      <w:r>
        <w:rPr>
          <w:rFonts w:ascii="Times New Roman" w:hAnsi="Times New Roman" w:cs="Times New Roman"/>
        </w:rPr>
        <w:fldChar w:fldCharType="end"/>
      </w:r>
    </w:p>
    <w:p w14:paraId="46EF5B22" w14:textId="77777777" w:rsidR="00FC2F1E" w:rsidRDefault="00FC2F1E">
      <w:pPr>
        <w:rPr>
          <w:rFonts w:ascii="Times New Roman" w:hAnsi="Times New Roman" w:cs="Times New Roman"/>
        </w:rPr>
      </w:pPr>
      <w:r>
        <w:rPr>
          <w:rFonts w:ascii="Times New Roman" w:hAnsi="Times New Roman" w:cs="Times New Roman"/>
        </w:rPr>
        <w:br w:type="page"/>
      </w:r>
    </w:p>
    <w:p w14:paraId="311EB9C8" w14:textId="4E74DF1C" w:rsidR="00BE1CD0" w:rsidRDefault="00FC2F1E" w:rsidP="00BE1CD0">
      <w:pPr>
        <w:spacing w:line="480" w:lineRule="auto"/>
        <w:rPr>
          <w:rFonts w:ascii="Times New Roman" w:eastAsia="Times New Roman" w:hAnsi="Times New Roman" w:cs="Times New Roman"/>
          <w:b/>
        </w:rPr>
      </w:pPr>
      <w:r>
        <w:rPr>
          <w:rFonts w:ascii="Times New Roman" w:hAnsi="Times New Roman" w:cs="Times New Roman"/>
          <w:b/>
          <w:bCs/>
        </w:rPr>
        <w:lastRenderedPageBreak/>
        <w:t xml:space="preserve">Figure 1. </w:t>
      </w:r>
      <w:r w:rsidR="00BE1CD0">
        <w:rPr>
          <w:rFonts w:ascii="Times New Roman" w:eastAsia="Times New Roman" w:hAnsi="Times New Roman" w:cs="Times New Roman"/>
          <w:b/>
        </w:rPr>
        <w:t xml:space="preserve">National Trend in Osteomyelitis Mortality, United States 1999-2020. </w:t>
      </w:r>
    </w:p>
    <w:p w14:paraId="02C9EB2D"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7037639D" wp14:editId="4FF57E7A">
            <wp:extent cx="5943600" cy="3927837"/>
            <wp:effectExtent l="0" t="0" r="0" b="0"/>
            <wp:docPr id="1" name="image4.png" descr="A graph with a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graph with a blue line&#10;&#10;AI-generated content may be incorrect."/>
                    <pic:cNvPicPr preferRelativeResize="0"/>
                  </pic:nvPicPr>
                  <pic:blipFill rotWithShape="1">
                    <a:blip r:embed="rId4"/>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74FD5B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2. Trends in Osteomyelitis Mortality by Sex, United States 1999-2020. </w:t>
      </w:r>
    </w:p>
    <w:p w14:paraId="6CC5D7EB" w14:textId="77777777" w:rsidR="00BE1CD0" w:rsidRDefault="00BE1CD0" w:rsidP="00BE1CD0">
      <w:pPr>
        <w:spacing w:line="48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CBFC0F3" wp14:editId="180200D0">
            <wp:extent cx="5943600" cy="3939412"/>
            <wp:effectExtent l="0" t="0" r="0" b="0"/>
            <wp:docPr id="2" name="image2.png" descr="A graph with lines and dot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graph with lines and dots&#10;&#10;AI-generated content may be incorrect."/>
                    <pic:cNvPicPr preferRelativeResize="0"/>
                  </pic:nvPicPr>
                  <pic:blipFill rotWithShape="1">
                    <a:blip r:embed="rId5"/>
                    <a:srcRect t="9566"/>
                    <a:stretch/>
                  </pic:blipFill>
                  <pic:spPr bwMode="auto">
                    <a:xfrm>
                      <a:off x="0" y="0"/>
                      <a:ext cx="5943600" cy="3939412"/>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CF9436F"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3. Trends in Osteomyelitis Mortality by Race, United States 1999-2020. </w:t>
      </w:r>
    </w:p>
    <w:p w14:paraId="019CFD47" w14:textId="77777777" w:rsidR="00BE1CD0" w:rsidRDefault="00BE1CD0" w:rsidP="00BE1CD0">
      <w:pPr>
        <w:spacing w:line="480" w:lineRule="auto"/>
        <w:rPr>
          <w:rFonts w:ascii="Times New Roman" w:eastAsia="Times New Roman" w:hAnsi="Times New Roman" w:cs="Times New Roman"/>
          <w:b/>
        </w:rPr>
      </w:pPr>
      <w:r>
        <w:rPr>
          <w:rFonts w:ascii="Times New Roman" w:eastAsia="Times New Roman" w:hAnsi="Times New Roman" w:cs="Times New Roman"/>
          <w:noProof/>
        </w:rPr>
        <w:drawing>
          <wp:inline distT="114300" distB="114300" distL="114300" distR="114300" wp14:anchorId="4E517099" wp14:editId="1FE5F405">
            <wp:extent cx="5943600" cy="3927837"/>
            <wp:effectExtent l="0" t="0" r="0" b="0"/>
            <wp:docPr id="3" name="image1.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aph of different colored lines&#10;&#10;AI-generated content may be incorrect."/>
                    <pic:cNvPicPr preferRelativeResize="0"/>
                  </pic:nvPicPr>
                  <pic:blipFill rotWithShape="1">
                    <a:blip r:embed="rId6"/>
                    <a:srcRect t="9832"/>
                    <a:stretch/>
                  </pic:blipFill>
                  <pic:spPr bwMode="auto">
                    <a:xfrm>
                      <a:off x="0" y="0"/>
                      <a:ext cx="5943600" cy="3927837"/>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7EAD3B52" w14:textId="77777777" w:rsidR="00BE1CD0" w:rsidRDefault="00BE1CD0" w:rsidP="00BE1CD0">
      <w:pPr>
        <w:spacing w:line="480" w:lineRule="auto"/>
        <w:rPr>
          <w:rFonts w:ascii="Times New Roman" w:eastAsia="Times New Roman" w:hAnsi="Times New Roman" w:cs="Times New Roman"/>
        </w:rPr>
      </w:pPr>
      <w:r>
        <w:rPr>
          <w:rFonts w:ascii="Times New Roman" w:eastAsia="Times New Roman" w:hAnsi="Times New Roman" w:cs="Times New Roman"/>
          <w:b/>
        </w:rPr>
        <w:lastRenderedPageBreak/>
        <w:t xml:space="preserve">Figure 4. Overall Age-Adjusted Mortality Rates by Demographic Group, United States 1999-2020. </w:t>
      </w:r>
    </w:p>
    <w:p w14:paraId="56C9B146" w14:textId="77777777" w:rsidR="00BE1CD0" w:rsidRDefault="00BE1CD0" w:rsidP="00BE1CD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279D53" wp14:editId="53CF3018">
            <wp:extent cx="5943600" cy="3881538"/>
            <wp:effectExtent l="0" t="0" r="0" b="0"/>
            <wp:docPr id="4"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3.png" descr="A screenshot of a computer&#10;&#10;AI-generated content may be incorrect."/>
                    <pic:cNvPicPr preferRelativeResize="0"/>
                  </pic:nvPicPr>
                  <pic:blipFill rotWithShape="1">
                    <a:blip r:embed="rId7"/>
                    <a:srcRect t="10894"/>
                    <a:stretch/>
                  </pic:blipFill>
                  <pic:spPr bwMode="auto">
                    <a:xfrm>
                      <a:off x="0" y="0"/>
                      <a:ext cx="5943600" cy="3881538"/>
                    </a:xfrm>
                    <a:prstGeom prst="rect">
                      <a:avLst/>
                    </a:prstGeom>
                    <a:ln>
                      <a:noFill/>
                    </a:ln>
                    <a:extLst>
                      <a:ext uri="{53640926-AAD7-44D8-BBD7-CCE9431645EC}">
                        <a14:shadowObscured xmlns:a14="http://schemas.microsoft.com/office/drawing/2010/main"/>
                      </a:ext>
                    </a:extLst>
                  </pic:spPr>
                </pic:pic>
              </a:graphicData>
            </a:graphic>
          </wp:inline>
        </w:drawing>
      </w:r>
    </w:p>
    <w:p w14:paraId="12A2B2CF" w14:textId="77777777" w:rsidR="00BE1CD0" w:rsidRDefault="00BE1CD0" w:rsidP="00BE1CD0">
      <w:pPr>
        <w:spacing w:line="480" w:lineRule="auto"/>
        <w:rPr>
          <w:rFonts w:ascii="Times New Roman" w:eastAsia="Times New Roman" w:hAnsi="Times New Roman" w:cs="Times New Roman"/>
        </w:rPr>
      </w:pPr>
    </w:p>
    <w:p w14:paraId="06B263A7" w14:textId="77777777" w:rsidR="00BE1CD0" w:rsidRDefault="00BE1CD0" w:rsidP="00BE1CD0">
      <w:pPr>
        <w:spacing w:line="480" w:lineRule="auto"/>
        <w:rPr>
          <w:rFonts w:ascii="Times New Roman" w:eastAsia="Times New Roman" w:hAnsi="Times New Roman" w:cs="Times New Roman"/>
        </w:rPr>
      </w:pPr>
    </w:p>
    <w:p w14:paraId="04A5B6D8" w14:textId="77777777" w:rsidR="00BE1CD0" w:rsidRDefault="00BE1CD0" w:rsidP="00BE1CD0">
      <w:pPr>
        <w:spacing w:line="480" w:lineRule="auto"/>
        <w:rPr>
          <w:rFonts w:ascii="Times New Roman" w:eastAsia="Times New Roman" w:hAnsi="Times New Roman" w:cs="Times New Roman"/>
        </w:rPr>
      </w:pPr>
    </w:p>
    <w:p w14:paraId="44752226" w14:textId="64642048" w:rsidR="00AA2FF5" w:rsidRPr="00FC2F1E" w:rsidRDefault="00AA2FF5" w:rsidP="00676552">
      <w:pPr>
        <w:spacing w:after="0" w:line="480" w:lineRule="auto"/>
        <w:rPr>
          <w:rFonts w:ascii="Times New Roman" w:hAnsi="Times New Roman" w:cs="Times New Roman"/>
          <w:b/>
          <w:bCs/>
        </w:rPr>
      </w:pPr>
    </w:p>
    <w:sectPr w:rsidR="00AA2FF5" w:rsidRPr="00FC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F3"/>
    <w:rsid w:val="00012EEF"/>
    <w:rsid w:val="00016C80"/>
    <w:rsid w:val="00025EF0"/>
    <w:rsid w:val="000278ED"/>
    <w:rsid w:val="000326E8"/>
    <w:rsid w:val="00036939"/>
    <w:rsid w:val="00043CC1"/>
    <w:rsid w:val="00046ABF"/>
    <w:rsid w:val="00051BA0"/>
    <w:rsid w:val="000537CE"/>
    <w:rsid w:val="00060D50"/>
    <w:rsid w:val="0006741C"/>
    <w:rsid w:val="00071B24"/>
    <w:rsid w:val="00073766"/>
    <w:rsid w:val="00080BA5"/>
    <w:rsid w:val="000A1DB4"/>
    <w:rsid w:val="000A3C37"/>
    <w:rsid w:val="000A4561"/>
    <w:rsid w:val="000B1B3C"/>
    <w:rsid w:val="000B26F9"/>
    <w:rsid w:val="000B5F33"/>
    <w:rsid w:val="000B6AB9"/>
    <w:rsid w:val="000B7074"/>
    <w:rsid w:val="000C5DF8"/>
    <w:rsid w:val="000E7173"/>
    <w:rsid w:val="000F0546"/>
    <w:rsid w:val="000F2156"/>
    <w:rsid w:val="000F25EB"/>
    <w:rsid w:val="000F26E2"/>
    <w:rsid w:val="001011D9"/>
    <w:rsid w:val="00111152"/>
    <w:rsid w:val="00116699"/>
    <w:rsid w:val="00116E72"/>
    <w:rsid w:val="00120961"/>
    <w:rsid w:val="001308A1"/>
    <w:rsid w:val="00132547"/>
    <w:rsid w:val="0014246D"/>
    <w:rsid w:val="00142CD2"/>
    <w:rsid w:val="0014775E"/>
    <w:rsid w:val="00155211"/>
    <w:rsid w:val="00155D35"/>
    <w:rsid w:val="0018366E"/>
    <w:rsid w:val="001A038A"/>
    <w:rsid w:val="001A36A0"/>
    <w:rsid w:val="001B6DC0"/>
    <w:rsid w:val="001B7F52"/>
    <w:rsid w:val="001D0039"/>
    <w:rsid w:val="001D7584"/>
    <w:rsid w:val="001E1FD7"/>
    <w:rsid w:val="001E5D59"/>
    <w:rsid w:val="001F7111"/>
    <w:rsid w:val="00221002"/>
    <w:rsid w:val="00232142"/>
    <w:rsid w:val="00232331"/>
    <w:rsid w:val="002362B2"/>
    <w:rsid w:val="00236D28"/>
    <w:rsid w:val="002511F7"/>
    <w:rsid w:val="00254194"/>
    <w:rsid w:val="00265AED"/>
    <w:rsid w:val="002677CA"/>
    <w:rsid w:val="0027192C"/>
    <w:rsid w:val="00274C29"/>
    <w:rsid w:val="00281C9A"/>
    <w:rsid w:val="00296DB0"/>
    <w:rsid w:val="002A08C0"/>
    <w:rsid w:val="002A4807"/>
    <w:rsid w:val="002A4DEF"/>
    <w:rsid w:val="002B00EC"/>
    <w:rsid w:val="002C02D6"/>
    <w:rsid w:val="002C40DC"/>
    <w:rsid w:val="002D2B64"/>
    <w:rsid w:val="002D3824"/>
    <w:rsid w:val="002E2198"/>
    <w:rsid w:val="00305649"/>
    <w:rsid w:val="003056D5"/>
    <w:rsid w:val="00316DBB"/>
    <w:rsid w:val="00327133"/>
    <w:rsid w:val="0034574E"/>
    <w:rsid w:val="00352F7E"/>
    <w:rsid w:val="0035603E"/>
    <w:rsid w:val="003571F7"/>
    <w:rsid w:val="003612F0"/>
    <w:rsid w:val="003615A0"/>
    <w:rsid w:val="003832CC"/>
    <w:rsid w:val="00384CEF"/>
    <w:rsid w:val="00392FC4"/>
    <w:rsid w:val="00393529"/>
    <w:rsid w:val="00395412"/>
    <w:rsid w:val="00397A37"/>
    <w:rsid w:val="003A07C8"/>
    <w:rsid w:val="003A5444"/>
    <w:rsid w:val="003A717C"/>
    <w:rsid w:val="003C43C7"/>
    <w:rsid w:val="003D26B8"/>
    <w:rsid w:val="003D6773"/>
    <w:rsid w:val="003D7DFA"/>
    <w:rsid w:val="003E08B3"/>
    <w:rsid w:val="003E7CFE"/>
    <w:rsid w:val="003F0066"/>
    <w:rsid w:val="004006CA"/>
    <w:rsid w:val="0040394E"/>
    <w:rsid w:val="004066E2"/>
    <w:rsid w:val="00416099"/>
    <w:rsid w:val="00423FDA"/>
    <w:rsid w:val="0043031D"/>
    <w:rsid w:val="00430831"/>
    <w:rsid w:val="00452FE1"/>
    <w:rsid w:val="00455050"/>
    <w:rsid w:val="00461666"/>
    <w:rsid w:val="00466161"/>
    <w:rsid w:val="00466E10"/>
    <w:rsid w:val="00477BEA"/>
    <w:rsid w:val="00483FCA"/>
    <w:rsid w:val="004928DD"/>
    <w:rsid w:val="004936B9"/>
    <w:rsid w:val="0049698E"/>
    <w:rsid w:val="004A0CD5"/>
    <w:rsid w:val="004A2D36"/>
    <w:rsid w:val="004B5A51"/>
    <w:rsid w:val="004C79C7"/>
    <w:rsid w:val="004D120C"/>
    <w:rsid w:val="004E542F"/>
    <w:rsid w:val="004E5AD4"/>
    <w:rsid w:val="004F08B2"/>
    <w:rsid w:val="004F3DFD"/>
    <w:rsid w:val="004F6C2D"/>
    <w:rsid w:val="005143FC"/>
    <w:rsid w:val="00516730"/>
    <w:rsid w:val="00517176"/>
    <w:rsid w:val="00517531"/>
    <w:rsid w:val="00526C7C"/>
    <w:rsid w:val="005302E8"/>
    <w:rsid w:val="0053074E"/>
    <w:rsid w:val="005327B2"/>
    <w:rsid w:val="00533EFF"/>
    <w:rsid w:val="005400BB"/>
    <w:rsid w:val="0055472F"/>
    <w:rsid w:val="0056256C"/>
    <w:rsid w:val="00567E4B"/>
    <w:rsid w:val="0057176C"/>
    <w:rsid w:val="00571811"/>
    <w:rsid w:val="00576D58"/>
    <w:rsid w:val="00582A1D"/>
    <w:rsid w:val="00594AC4"/>
    <w:rsid w:val="005B383B"/>
    <w:rsid w:val="005D121F"/>
    <w:rsid w:val="005D68F1"/>
    <w:rsid w:val="005F2061"/>
    <w:rsid w:val="00601A72"/>
    <w:rsid w:val="00602135"/>
    <w:rsid w:val="00606C40"/>
    <w:rsid w:val="00611945"/>
    <w:rsid w:val="00611C72"/>
    <w:rsid w:val="00616648"/>
    <w:rsid w:val="00623EF6"/>
    <w:rsid w:val="00626B7F"/>
    <w:rsid w:val="00632BE2"/>
    <w:rsid w:val="0063459F"/>
    <w:rsid w:val="00640E0A"/>
    <w:rsid w:val="006426D1"/>
    <w:rsid w:val="0064402F"/>
    <w:rsid w:val="00656E37"/>
    <w:rsid w:val="00676552"/>
    <w:rsid w:val="006930AE"/>
    <w:rsid w:val="006951C0"/>
    <w:rsid w:val="006A635A"/>
    <w:rsid w:val="006A6631"/>
    <w:rsid w:val="006C3CCA"/>
    <w:rsid w:val="006F3E51"/>
    <w:rsid w:val="00701B9D"/>
    <w:rsid w:val="007079C8"/>
    <w:rsid w:val="0071171A"/>
    <w:rsid w:val="00712407"/>
    <w:rsid w:val="00714254"/>
    <w:rsid w:val="00715940"/>
    <w:rsid w:val="00724F3D"/>
    <w:rsid w:val="00730A07"/>
    <w:rsid w:val="00731E77"/>
    <w:rsid w:val="00737388"/>
    <w:rsid w:val="00753832"/>
    <w:rsid w:val="0076404A"/>
    <w:rsid w:val="00780A9A"/>
    <w:rsid w:val="00781FF4"/>
    <w:rsid w:val="007930D2"/>
    <w:rsid w:val="007A078D"/>
    <w:rsid w:val="007A3E06"/>
    <w:rsid w:val="007B0940"/>
    <w:rsid w:val="007C6A4C"/>
    <w:rsid w:val="007D57BB"/>
    <w:rsid w:val="007D743D"/>
    <w:rsid w:val="007E3B80"/>
    <w:rsid w:val="007E5B1B"/>
    <w:rsid w:val="007F325B"/>
    <w:rsid w:val="007F7092"/>
    <w:rsid w:val="007F7E3D"/>
    <w:rsid w:val="00813BF0"/>
    <w:rsid w:val="00822961"/>
    <w:rsid w:val="008259F0"/>
    <w:rsid w:val="00830BE6"/>
    <w:rsid w:val="00831D01"/>
    <w:rsid w:val="00840333"/>
    <w:rsid w:val="00850FED"/>
    <w:rsid w:val="008648BA"/>
    <w:rsid w:val="008667D4"/>
    <w:rsid w:val="0088083F"/>
    <w:rsid w:val="008863BE"/>
    <w:rsid w:val="008961B7"/>
    <w:rsid w:val="008A1C92"/>
    <w:rsid w:val="008A6244"/>
    <w:rsid w:val="008A727D"/>
    <w:rsid w:val="008B1906"/>
    <w:rsid w:val="008B41E2"/>
    <w:rsid w:val="008B5509"/>
    <w:rsid w:val="008C3307"/>
    <w:rsid w:val="008D3CC4"/>
    <w:rsid w:val="008D7DDC"/>
    <w:rsid w:val="008E1450"/>
    <w:rsid w:val="008E245E"/>
    <w:rsid w:val="008E53B3"/>
    <w:rsid w:val="008E5826"/>
    <w:rsid w:val="008F0948"/>
    <w:rsid w:val="008F4715"/>
    <w:rsid w:val="00904099"/>
    <w:rsid w:val="009074CE"/>
    <w:rsid w:val="00914A1C"/>
    <w:rsid w:val="00925304"/>
    <w:rsid w:val="00926383"/>
    <w:rsid w:val="00930C46"/>
    <w:rsid w:val="00932B52"/>
    <w:rsid w:val="0093674C"/>
    <w:rsid w:val="00937CA0"/>
    <w:rsid w:val="00954D41"/>
    <w:rsid w:val="00957E14"/>
    <w:rsid w:val="009626FD"/>
    <w:rsid w:val="009729D3"/>
    <w:rsid w:val="00973544"/>
    <w:rsid w:val="00977B0C"/>
    <w:rsid w:val="00981933"/>
    <w:rsid w:val="009A0B78"/>
    <w:rsid w:val="009B2B3F"/>
    <w:rsid w:val="009C1E46"/>
    <w:rsid w:val="009C2674"/>
    <w:rsid w:val="009C26A5"/>
    <w:rsid w:val="009C274E"/>
    <w:rsid w:val="009D5972"/>
    <w:rsid w:val="009D6986"/>
    <w:rsid w:val="009E145C"/>
    <w:rsid w:val="009E2883"/>
    <w:rsid w:val="009E7F84"/>
    <w:rsid w:val="009F243D"/>
    <w:rsid w:val="009F464F"/>
    <w:rsid w:val="009F4868"/>
    <w:rsid w:val="00A11BCC"/>
    <w:rsid w:val="00A11D00"/>
    <w:rsid w:val="00A24465"/>
    <w:rsid w:val="00A25603"/>
    <w:rsid w:val="00A42039"/>
    <w:rsid w:val="00A45683"/>
    <w:rsid w:val="00A551ED"/>
    <w:rsid w:val="00A55EA7"/>
    <w:rsid w:val="00A56B68"/>
    <w:rsid w:val="00A61BBC"/>
    <w:rsid w:val="00A65090"/>
    <w:rsid w:val="00A66A98"/>
    <w:rsid w:val="00A70A6D"/>
    <w:rsid w:val="00A7312C"/>
    <w:rsid w:val="00A83FA5"/>
    <w:rsid w:val="00A86F67"/>
    <w:rsid w:val="00A91601"/>
    <w:rsid w:val="00A9161E"/>
    <w:rsid w:val="00A933F5"/>
    <w:rsid w:val="00AA1B71"/>
    <w:rsid w:val="00AA2FF5"/>
    <w:rsid w:val="00AA5478"/>
    <w:rsid w:val="00AB2F83"/>
    <w:rsid w:val="00AB3CAC"/>
    <w:rsid w:val="00AB5BCF"/>
    <w:rsid w:val="00AB5F7C"/>
    <w:rsid w:val="00AC3075"/>
    <w:rsid w:val="00AC3719"/>
    <w:rsid w:val="00AC3C48"/>
    <w:rsid w:val="00AC7ECB"/>
    <w:rsid w:val="00AD04ED"/>
    <w:rsid w:val="00AD17C9"/>
    <w:rsid w:val="00AD2CF3"/>
    <w:rsid w:val="00AE0A86"/>
    <w:rsid w:val="00AE60CC"/>
    <w:rsid w:val="00AE6CBF"/>
    <w:rsid w:val="00AF2B83"/>
    <w:rsid w:val="00AF5E03"/>
    <w:rsid w:val="00B00E23"/>
    <w:rsid w:val="00B06DCB"/>
    <w:rsid w:val="00B32598"/>
    <w:rsid w:val="00B404F5"/>
    <w:rsid w:val="00B41461"/>
    <w:rsid w:val="00B54B09"/>
    <w:rsid w:val="00B63A69"/>
    <w:rsid w:val="00B64DC7"/>
    <w:rsid w:val="00B83351"/>
    <w:rsid w:val="00B840A6"/>
    <w:rsid w:val="00B84CE6"/>
    <w:rsid w:val="00B85B38"/>
    <w:rsid w:val="00B85DF8"/>
    <w:rsid w:val="00B91FD2"/>
    <w:rsid w:val="00B95B6C"/>
    <w:rsid w:val="00B97FED"/>
    <w:rsid w:val="00BB39F5"/>
    <w:rsid w:val="00BC5758"/>
    <w:rsid w:val="00BC7343"/>
    <w:rsid w:val="00BD4F6A"/>
    <w:rsid w:val="00BE0490"/>
    <w:rsid w:val="00BE1393"/>
    <w:rsid w:val="00BE1CD0"/>
    <w:rsid w:val="00BE33DB"/>
    <w:rsid w:val="00BE4597"/>
    <w:rsid w:val="00BF471B"/>
    <w:rsid w:val="00C05462"/>
    <w:rsid w:val="00C174F7"/>
    <w:rsid w:val="00C278F4"/>
    <w:rsid w:val="00C40B11"/>
    <w:rsid w:val="00C45597"/>
    <w:rsid w:val="00C5104F"/>
    <w:rsid w:val="00C6228E"/>
    <w:rsid w:val="00C7285D"/>
    <w:rsid w:val="00C7371E"/>
    <w:rsid w:val="00C7592E"/>
    <w:rsid w:val="00C81818"/>
    <w:rsid w:val="00C91A1C"/>
    <w:rsid w:val="00C94FEE"/>
    <w:rsid w:val="00CC6841"/>
    <w:rsid w:val="00CC6A7D"/>
    <w:rsid w:val="00CE3AD9"/>
    <w:rsid w:val="00CF2E76"/>
    <w:rsid w:val="00CF65FF"/>
    <w:rsid w:val="00D03BBB"/>
    <w:rsid w:val="00D04AF8"/>
    <w:rsid w:val="00D074D3"/>
    <w:rsid w:val="00D10EEA"/>
    <w:rsid w:val="00D13907"/>
    <w:rsid w:val="00D208BD"/>
    <w:rsid w:val="00D22CC3"/>
    <w:rsid w:val="00D2399D"/>
    <w:rsid w:val="00D24347"/>
    <w:rsid w:val="00D453EE"/>
    <w:rsid w:val="00D54A3D"/>
    <w:rsid w:val="00D56503"/>
    <w:rsid w:val="00D6446B"/>
    <w:rsid w:val="00D64661"/>
    <w:rsid w:val="00D70EEA"/>
    <w:rsid w:val="00D71DFD"/>
    <w:rsid w:val="00DA4462"/>
    <w:rsid w:val="00DA7FB2"/>
    <w:rsid w:val="00DB18A8"/>
    <w:rsid w:val="00DC1D1C"/>
    <w:rsid w:val="00DC343E"/>
    <w:rsid w:val="00DC740D"/>
    <w:rsid w:val="00DE2A8F"/>
    <w:rsid w:val="00DF1AE3"/>
    <w:rsid w:val="00DF6DBB"/>
    <w:rsid w:val="00E01B64"/>
    <w:rsid w:val="00E03455"/>
    <w:rsid w:val="00E05B15"/>
    <w:rsid w:val="00E27C7E"/>
    <w:rsid w:val="00E27C94"/>
    <w:rsid w:val="00E34C4D"/>
    <w:rsid w:val="00E42755"/>
    <w:rsid w:val="00E508A1"/>
    <w:rsid w:val="00E82F30"/>
    <w:rsid w:val="00E90E2F"/>
    <w:rsid w:val="00E9190B"/>
    <w:rsid w:val="00EA6329"/>
    <w:rsid w:val="00EB2F67"/>
    <w:rsid w:val="00EB48EC"/>
    <w:rsid w:val="00EB6300"/>
    <w:rsid w:val="00ED5192"/>
    <w:rsid w:val="00ED7AB3"/>
    <w:rsid w:val="00EE1EB4"/>
    <w:rsid w:val="00EE5847"/>
    <w:rsid w:val="00F06E08"/>
    <w:rsid w:val="00F15973"/>
    <w:rsid w:val="00F24A13"/>
    <w:rsid w:val="00F27B4C"/>
    <w:rsid w:val="00F31B54"/>
    <w:rsid w:val="00F32160"/>
    <w:rsid w:val="00F36024"/>
    <w:rsid w:val="00F36226"/>
    <w:rsid w:val="00F40947"/>
    <w:rsid w:val="00F52261"/>
    <w:rsid w:val="00F52EEF"/>
    <w:rsid w:val="00F62880"/>
    <w:rsid w:val="00F65B7A"/>
    <w:rsid w:val="00F805BC"/>
    <w:rsid w:val="00F8168F"/>
    <w:rsid w:val="00F83C44"/>
    <w:rsid w:val="00F85727"/>
    <w:rsid w:val="00F86151"/>
    <w:rsid w:val="00FA417E"/>
    <w:rsid w:val="00FA78A2"/>
    <w:rsid w:val="00FB0DF3"/>
    <w:rsid w:val="00FC2F1E"/>
    <w:rsid w:val="00FD1A72"/>
    <w:rsid w:val="00FE0000"/>
    <w:rsid w:val="00FE0372"/>
    <w:rsid w:val="00FE0A99"/>
    <w:rsid w:val="00FE3F85"/>
    <w:rsid w:val="00FE7223"/>
    <w:rsid w:val="00FF5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C66BF"/>
  <w15:chartTrackingRefBased/>
  <w15:docId w15:val="{36043722-B80E-F842-A5C8-0AB365D5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CF3"/>
  </w:style>
  <w:style w:type="paragraph" w:styleId="Heading1">
    <w:name w:val="heading 1"/>
    <w:basedOn w:val="Normal"/>
    <w:next w:val="Normal"/>
    <w:link w:val="Heading1Char"/>
    <w:uiPriority w:val="9"/>
    <w:qFormat/>
    <w:rsid w:val="00FB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F3"/>
    <w:rPr>
      <w:rFonts w:eastAsiaTheme="majorEastAsia" w:cstheme="majorBidi"/>
      <w:color w:val="272727" w:themeColor="text1" w:themeTint="D8"/>
    </w:rPr>
  </w:style>
  <w:style w:type="paragraph" w:styleId="Title">
    <w:name w:val="Title"/>
    <w:basedOn w:val="Normal"/>
    <w:next w:val="Normal"/>
    <w:link w:val="TitleChar"/>
    <w:uiPriority w:val="10"/>
    <w:qFormat/>
    <w:rsid w:val="00FB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F3"/>
    <w:pPr>
      <w:spacing w:before="160"/>
      <w:jc w:val="center"/>
    </w:pPr>
    <w:rPr>
      <w:i/>
      <w:iCs/>
      <w:color w:val="404040" w:themeColor="text1" w:themeTint="BF"/>
    </w:rPr>
  </w:style>
  <w:style w:type="character" w:customStyle="1" w:styleId="QuoteChar">
    <w:name w:val="Quote Char"/>
    <w:basedOn w:val="DefaultParagraphFont"/>
    <w:link w:val="Quote"/>
    <w:uiPriority w:val="29"/>
    <w:rsid w:val="00FB0DF3"/>
    <w:rPr>
      <w:i/>
      <w:iCs/>
      <w:color w:val="404040" w:themeColor="text1" w:themeTint="BF"/>
    </w:rPr>
  </w:style>
  <w:style w:type="paragraph" w:styleId="ListParagraph">
    <w:name w:val="List Paragraph"/>
    <w:basedOn w:val="Normal"/>
    <w:uiPriority w:val="34"/>
    <w:qFormat/>
    <w:rsid w:val="00FB0DF3"/>
    <w:pPr>
      <w:ind w:left="720"/>
      <w:contextualSpacing/>
    </w:pPr>
  </w:style>
  <w:style w:type="character" w:styleId="IntenseEmphasis">
    <w:name w:val="Intense Emphasis"/>
    <w:basedOn w:val="DefaultParagraphFont"/>
    <w:uiPriority w:val="21"/>
    <w:qFormat/>
    <w:rsid w:val="00FB0DF3"/>
    <w:rPr>
      <w:i/>
      <w:iCs/>
      <w:color w:val="0F4761" w:themeColor="accent1" w:themeShade="BF"/>
    </w:rPr>
  </w:style>
  <w:style w:type="paragraph" w:styleId="IntenseQuote">
    <w:name w:val="Intense Quote"/>
    <w:basedOn w:val="Normal"/>
    <w:next w:val="Normal"/>
    <w:link w:val="IntenseQuoteChar"/>
    <w:uiPriority w:val="30"/>
    <w:qFormat/>
    <w:rsid w:val="00FB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F3"/>
    <w:rPr>
      <w:i/>
      <w:iCs/>
      <w:color w:val="0F4761" w:themeColor="accent1" w:themeShade="BF"/>
    </w:rPr>
  </w:style>
  <w:style w:type="character" w:styleId="IntenseReference">
    <w:name w:val="Intense Reference"/>
    <w:basedOn w:val="DefaultParagraphFont"/>
    <w:uiPriority w:val="32"/>
    <w:qFormat/>
    <w:rsid w:val="00FB0DF3"/>
    <w:rPr>
      <w:b/>
      <w:bCs/>
      <w:smallCaps/>
      <w:color w:val="0F4761" w:themeColor="accent1" w:themeShade="BF"/>
      <w:spacing w:val="5"/>
    </w:rPr>
  </w:style>
  <w:style w:type="paragraph" w:styleId="NormalWeb">
    <w:name w:val="Normal (Web)"/>
    <w:basedOn w:val="Normal"/>
    <w:uiPriority w:val="99"/>
    <w:semiHidden/>
    <w:unhideWhenUsed/>
    <w:rsid w:val="00554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5472F"/>
    <w:rPr>
      <w:color w:val="0000FF"/>
      <w:u w:val="single"/>
    </w:rPr>
  </w:style>
  <w:style w:type="character" w:customStyle="1" w:styleId="apple-tab-span">
    <w:name w:val="apple-tab-span"/>
    <w:basedOn w:val="DefaultParagraphFont"/>
    <w:rsid w:val="0055472F"/>
  </w:style>
  <w:style w:type="paragraph" w:styleId="Bibliography">
    <w:name w:val="Bibliography"/>
    <w:basedOn w:val="Normal"/>
    <w:next w:val="Normal"/>
    <w:uiPriority w:val="37"/>
    <w:unhideWhenUsed/>
    <w:rsid w:val="00724F3D"/>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29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3904</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47</cp:revision>
  <dcterms:created xsi:type="dcterms:W3CDTF">2025-05-15T18:59:00Z</dcterms:created>
  <dcterms:modified xsi:type="dcterms:W3CDTF">2025-05-16T13:29:00Z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id="Yn4Zftqv"/&gt;&lt;style id="http://www.zotero.org/styles/american-medical-association" hasBibliography="1" bibliographyStyleHasBeenSet="1"/&gt;&lt;prefs&gt;&lt;pref name="fieldType" value="Field"/&gt;&lt;/prefs&gt;&lt;/data&gt;</vt:lpwstr>
  </property>
</Properties>
</file>