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51DD1" w14:textId="02E5A2A3" w:rsidR="00CC6841" w:rsidRPr="0055472F" w:rsidRDefault="00676552" w:rsidP="00676552">
      <w:pPr>
        <w:spacing w:after="0" w:line="480" w:lineRule="auto"/>
        <w:rPr>
          <w:rFonts w:ascii="Times New Roman" w:hAnsi="Times New Roman" w:cs="Times New Roman"/>
        </w:rPr>
      </w:pPr>
      <w:r w:rsidRPr="0055472F">
        <w:rPr>
          <w:rFonts w:ascii="Times New Roman" w:hAnsi="Times New Roman" w:cs="Times New Roman"/>
          <w:b/>
          <w:bCs/>
        </w:rPr>
        <w:t>Introduction</w:t>
      </w:r>
    </w:p>
    <w:p w14:paraId="685363E5" w14:textId="6D1F36C5" w:rsidR="004968D6" w:rsidRDefault="004968D6" w:rsidP="00676552">
      <w:pPr>
        <w:spacing w:after="0" w:line="480" w:lineRule="auto"/>
        <w:rPr>
          <w:rFonts w:ascii="Times New Roman" w:hAnsi="Times New Roman" w:cs="Times New Roman"/>
        </w:rPr>
      </w:pPr>
      <w:r>
        <w:rPr>
          <w:rFonts w:ascii="Times New Roman" w:hAnsi="Times New Roman" w:cs="Times New Roman"/>
        </w:rPr>
        <w:tab/>
        <w:t xml:space="preserve">Osteomyelitis is a severe infection of the bone and bone marrow </w:t>
      </w:r>
      <w:r w:rsidR="006E7C9E">
        <w:rPr>
          <w:rFonts w:ascii="Times New Roman" w:hAnsi="Times New Roman" w:cs="Times New Roman"/>
        </w:rPr>
        <w:t xml:space="preserve">that can result in </w:t>
      </w:r>
      <w:r w:rsidR="00090F8C">
        <w:rPr>
          <w:rFonts w:ascii="Times New Roman" w:hAnsi="Times New Roman" w:cs="Times New Roman"/>
        </w:rPr>
        <w:t xml:space="preserve">chronic infection, </w:t>
      </w:r>
      <w:r w:rsidR="007E34BE">
        <w:rPr>
          <w:rFonts w:ascii="Times New Roman" w:hAnsi="Times New Roman" w:cs="Times New Roman"/>
        </w:rPr>
        <w:t xml:space="preserve">limb amputation, and </w:t>
      </w:r>
      <w:r w:rsidR="00BA1BA2">
        <w:rPr>
          <w:rFonts w:ascii="Times New Roman" w:hAnsi="Times New Roman" w:cs="Times New Roman"/>
        </w:rPr>
        <w:t>even death.</w:t>
      </w:r>
      <w:r w:rsidR="00BF33BF">
        <w:rPr>
          <w:rFonts w:ascii="Times New Roman" w:hAnsi="Times New Roman" w:cs="Times New Roman"/>
        </w:rPr>
        <w:fldChar w:fldCharType="begin"/>
      </w:r>
      <w:r w:rsidR="00BF33BF">
        <w:rPr>
          <w:rFonts w:ascii="Times New Roman" w:hAnsi="Times New Roman" w:cs="Times New Roman"/>
        </w:rPr>
        <w:instrText xml:space="preserve"> ADDIN ZOTERO_ITEM CSL_CITATION {"citationID":"Hh100TDR","properties":{"formattedCitation":"\\super 1\\uc0\\u8211{}5\\nosupersub{}","plainCitation":"1–5","noteIndex":0},"citationItems":[{"id":5586,"uris":["http://zotero.org/groups/5952805/items/2TFNNXLW"],"itemData":{"id":5586,"type":"article-journal","container-title":"The American Journal of Pathology","DOI":"10.1016/j.ajpath.2020.02.007","ISSN":"0002-9440, 1525-2191","issue":"6","journalAbbreviation":"The American Journal of Pathology","language":"English","note":"publisher: Elsevier\nPMID: 32194053","page":"1151-1163","source":"ajp.amjpathol.org","title":"Current Concepts of Osteomyelitis: From Pathologic Mechanisms to Advanced Research Methods","title-short":"Current Concepts of Osteomyelitis","volume":"190","author":[{"family":"Hofstee","given":"Marloes I."},{"family":"Muthukrishnan","given":"Gowrishankar"},{"family":"Atkins","given":"Gerald J."},{"family":"Riool","given":"Martijn"},{"family":"Thompson","given":"Keith"},{"family":"Morgenstern","given":"Mario"},{"family":"Stoddart","given":"Martin J."},{"family":"Richards","given":"Robert G."},{"family":"Zaat","given":"Sebastian A. J."},{"family":"Moriarty","given":"Thomas F."}],"issued":{"date-parts":[["2020",6,1]]}}},{"id":5589,"uris":["http://zotero.org/groups/5952805/items/JVWCQKQV"],"itemData":{"id":5589,"type":"article-journal","abstract":"Osteomyelitis is an inflammatory condition of bone secondary to an infectious process. Osteomyelitis is usually clinically diagnosed with support from imaging and laboratory findings. Bone biopsy and microbial cultures offer definitive diagnosis. Plain film radiography should be performed as initial imaging, but sensitivity is low in the early stages of disease. Magnetic resonance imaging with and without contrast media has a higher sensitivity for identifying areas of bone necrosis in later stages. Staging based on major and minor risk factors can help stratify patients for surgical treatment. Antibiotics are the primary treatment option and should be tailored based on culture results and individual patient factors. Surgical bony debridement is often needed, and further surgical intervention may be warranted in high-risk patients or those with extensive disease. Diabetes mellitus and cardiovascular disease increase the overall risk of acute and chronic osteomyelitis.","container-title":"American Family Physician","ISSN":"1532-0650","issue":"4","journalAbbreviation":"Am Fam Physician","language":"eng","note":"PMID: 34652112","page":"395-402","source":"PubMed","title":"Osteomyelitis: Diagnosis and Treatment","title-short":"Osteomyelitis","volume":"104","author":[{"family":"Bury","given":"David C."},{"family":"Rogers","given":"Tyler S."},{"family":"Dickman","given":"Michael M."}],"issued":{"date-parts":[["2021",10,1]]}}},{"id":5593,"uris":["http://zotero.org/groups/5952805/items/WL4MM7XI"],"itemData":{"id":5593,"type":"article-journal","abstract":"Osteomyelitis is a devastating disease caused by microbial infection of bone. While the frequency of infection following elective orthopedic surgery is low, rates of reinfection are disturbingly high. Staphylococcus aureus is responsible for the majority of chronic osteomyelitis cases and is often considered to be incurable due to bacterial persistence deep within bone. Unfortunately, there is no consensus on clinical classifications of osteomyelitis and the ensuing treatment algorithm. Given the high patient morbidity, mortality, and economic burden caused by osteomyelitis, it is important to elucidate mechanisms of bone infection to inform novel strategies for prevention and curative treatment. Recent discoveries in this field have identified three distinct reservoirs of bacterial biofilm including: Staphylococcal abscess communities in the local soft tissue and bone marrow, glycocalyx formation on implant hardware and necrotic tissue, and colonization of the osteocyte-lacuno canalicular network (OLCN) of cortical bone. In contrast, S. aureus intracellular persistence in bone cells has not been substantiated in vivo, which challenges this mode of chronic osteomyelitis. There have also been major advances in our understanding of the immune proteome against S. aureus, from clinical studies of serum antibodies and media enriched for newly synthesized antibodies (MENSA), which may provide new opportunities for osteomyelitis diagnosis, prognosis, and vaccine development. Finally, novel therapies such as antimicrobial implant coatings and antibiotic impregnated 3D-printed scaffolds represent promising strategies for preventing and managing this devastating disease. Here, we review these recent advances and highlight translational opportunities towards a cure.","container-title":"Bone Research","DOI":"10.1038/s41413-019-0061-z","ISSN":"2095-4700","journalAbbreviation":"Bone Res","note":"PMID: 31646012\nPMCID: PMC6804538","page":"20","source":"PubMed Central","title":"Evolving concepts in bone infection: redefining “biofilm”, “acute vs. chronic osteomyelitis”, “the immune proteome” and “local antibiotic therapy”","title-short":"Evolving concepts in bone infection","volume":"7","author":[{"family":"Masters","given":"Elysia A."},{"family":"Trombetta","given":"Ryan P."},{"family":"Mesy Bentley","given":"Karen L.","non-dropping-particle":"de"},{"family":"Boyce","given":"Brendan F"},{"family":"Gill","given":"Ann Lindley"},{"family":"Gill","given":"Steven R."},{"family":"Nishitani","given":"Kohei"},{"family":"Ishikawa","given":"Masahiro"},{"family":"Morita","given":"Yugo"},{"family":"Ito","given":"Hiromu"},{"family":"Bello-Irizarry","given":"Sheila N."},{"family":"Ninomiya","given":"Mark"},{"family":"Brodell","given":"James D."},{"family":"Lee","given":"Charles C."},{"family":"Hao","given":"Stephanie P."},{"family":"Oh","given":"Irvin"},{"family":"Xie","given":"Chao"},{"family":"Awad","given":"Hani A."},{"family":"Daiss","given":"John L."},{"family":"Owen","given":"John R."},{"family":"Kates","given":"Stephen L."},{"family":"Schwarz","given":"Edward M."},{"family":"Muthukrishnan","given":"Gowrishankar"}],"issued":{"date-parts":[["2019",7,15]]}}},{"id":5596,"uris":["http://zotero.org/groups/5952805/items/A7ZQ4EQV"],"itemData":{"id":5596,"type":"article-journal","abstract":"Background\nDiabetes mellitus affects up to 14% of Americans. Infection of the diabetic foot is a common complication, which may lead to amputation. If infection extends to involve bone, the risk of amputation is increased 4-fold. Presence of osteomyelitis at the histopathologic margin of resection portends a poor prognosis in osteomyelitis outside the setting of the diabetic foot. We aimed to assess the association of a positive histopathologic margin with the outcome of osteomyelitis in the diabetic foot.\n\nMethods\nMedical records were reviewed for all patients who underwent below-ankle amputation for osteomyelitis of the diabetic foot. Patients who had at least 1 year of follow-up, a histopathologic diagnosis of osteomyelitis, and a comment on whether the margin was involved were included.\n\nResults\nThirty-nine of 66 (59%) cases had remission of osteomyelitis at 12 months. When comparing cases with remission with those who experienced recurrence in the 12 months of follow-up, there were no statistically significant differences in age, glycosylated hemoglobin, duration of antimicrobial therapy, Infectious Diseases Society of America class, or presence of osteomyelitis at the histopathologic margin. Among cases with a negative histopathologic margin, 29/48 (60.4%) were free of disease at 1 year, compared with 10/18 (55.6%) cases with a positive histopathologic margin (P = .72). Remission was significantly more frequent in cases undergoing amputation at the digit level (66.7%) compared with amputation at the metatarsal level (40.7%) (P = .045).\n\nConclusions\nOsteomyelitis of the diabetic foot at the histopathologic margin of resection was not associated with increased risk of treatment failure. Resection at the level of the digit was associated with a lower risk of failure than at the metatarsal level.","container-title":"Open Forum Infectious Diseases","DOI":"10.1093/ofid/ofz382","ISSN":"2328-8957","issue":"10","journalAbbreviation":"Open Forum Infect Dis","note":"PMID: 31660346\nPMCID: PMC6796992","page":"ofz382","source":"PubMed Central","title":"Outcomes of Limb-Sparing Surgery for Osteomyelitis in the Diabetic Foot: Importance of the Histopathologic Margin","title-short":"Outcomes of Limb-Sparing Surgery for Osteomyelitis in the Diabetic Foot","volume":"6","author":[{"family":"Johnson","given":"Matthew J"},{"family":"Shumway","given":"Nathan"},{"family":"Bivins","given":"Mark"},{"family":"Bessesen","given":"Mary T"}],"issued":{"date-parts":[["2019",9,10]]}}},{"id":"Yn4Zftqv/MlrCJl6M","uris":["http://zotero.org/groups/5952805/items/ZPNNFPJR"],"itemData":{"id":"Yn4Zftqv/MlrCJl6M","type":"article-journal","abstract":"BACKGROUND: Treatment of large segmental defects in skeletal long bones is challenging. Heterogeneity in patient presentation further increase the difficulty in designing and running randomized trials, hence the paucity of published data with large patient numbers. This study was designed to help understand patient presentation, costs and outcomes, using real world data sources.\nMETHODS: Two data sources (Premier healthcare database (PHD) and IBM® MarketScan® Commercial Claims and Medicaid databases) were utilized, PHD for intraoperative and cost analyses, MarketScan for payer costs and longitudinal (2-year) outcomes. Patients were included in the analysis if they had diagnoses of osteomyelitis, non-union or open (acute) fractures, treated with bone graft and/or spacers, using either the Masquelet or external frames. Patient cohorts were defined by diagnosis at index (acute fracture, osteomyelitis, non-union) and descriptive statistics were conducted for patient variables (demographic, comorbidities) and outcomes. Risk of complications were estimated using logistic regression models. Hospital and payer costs for index and follow-up periods, were estimated using least means square estimators from generalized linear model outputs. All costs and payments were adjusted for inflation to 2019 consumer price-index.\nRESULTS: 904 patients were identified in PHD (414 fractures, 388 osteomyelitis and 102 nonunion patients). Main comorbidities at time of initial surgery were hypertension (32.7%) followed by obesity (22.1%), diabetes with complications (20.9%) and chronic pulmonary disease (20.6%). Significant variability in surgical operating room time and length of stay were observed, with averages of 484.7 minutes and 11.7 days, respectively. Two-year postoperative infection rates ranged from 33.1% - 58.5%, the highest infection rates being reflective of ongoing infections in patients initially treated for osteomyelitis. Amputation rates ranged from 10.0% in patients with bone loss due to acute factures to 14.5% in patients with osteomyelitis. Osteomyelitis patients were also the costliest, with 12-months hospital costs averaging US$ 156.818 (95%CI: 112,970-217,685).\nCONCLUSION: This study identified high complication rates and costs of segmental bone repair surgery. All patients with segmental bone defects had high costs and risks but patients with osteomyelitis were at significant risk for increased cost and complications, including amputation. Medical innovation is particularly important for this high-risk patient group.","container-title":"Injury","DOI":"10.1016/j.injury.2021.01.016","ISSN":"1879-0267","issue":"10","journalAbbreviation":"Injury","language":"eng","note":"PMID: 33514450","page":"2935-2940","source":"PubMed","title":"Treatments, cost and healthcare utilization of patients with segmental bone defects","volume":"52","author":[{"family":"Norris","given":"Brent L."},{"family":"Vanderkarr","given":"Mollie"},{"family":"Sparks","given":"Charisse"},{"family":"Chitnis","given":"Abhishek S."},{"family":"Ray","given":"Bidusee"},{"family":"Holy","given":"Chantal E."}],"issued":{"date-parts":[["2021",10]]}}}],"schema":"https://github.com/citation-style-language/schema/raw/master/csl-citation.json"} </w:instrText>
      </w:r>
      <w:r w:rsidR="00BF33BF">
        <w:rPr>
          <w:rFonts w:ascii="Times New Roman" w:hAnsi="Times New Roman" w:cs="Times New Roman"/>
        </w:rPr>
        <w:fldChar w:fldCharType="separate"/>
      </w:r>
      <w:r w:rsidR="00BF33BF" w:rsidRPr="00BF33BF">
        <w:rPr>
          <w:rFonts w:ascii="Times New Roman" w:hAnsi="Times New Roman" w:cs="Times New Roman"/>
          <w:kern w:val="0"/>
          <w:vertAlign w:val="superscript"/>
        </w:rPr>
        <w:t>1–5</w:t>
      </w:r>
      <w:r w:rsidR="00BF33BF">
        <w:rPr>
          <w:rFonts w:ascii="Times New Roman" w:hAnsi="Times New Roman" w:cs="Times New Roman"/>
        </w:rPr>
        <w:fldChar w:fldCharType="end"/>
      </w:r>
      <w:r w:rsidR="00BF33BF">
        <w:rPr>
          <w:rFonts w:ascii="Times New Roman" w:hAnsi="Times New Roman" w:cs="Times New Roman"/>
        </w:rPr>
        <w:t xml:space="preserve"> </w:t>
      </w:r>
      <w:r w:rsidR="00DB0A7E">
        <w:rPr>
          <w:rFonts w:ascii="Times New Roman" w:hAnsi="Times New Roman" w:cs="Times New Roman"/>
        </w:rPr>
        <w:t>It poses a growing clinical and public health concern in the United States</w:t>
      </w:r>
      <w:r w:rsidR="00951B0C">
        <w:rPr>
          <w:rFonts w:ascii="Times New Roman" w:hAnsi="Times New Roman" w:cs="Times New Roman"/>
        </w:rPr>
        <w:t xml:space="preserve">, particularly among older adults and individuals with </w:t>
      </w:r>
      <w:r w:rsidR="00611A1C">
        <w:rPr>
          <w:rFonts w:ascii="Times New Roman" w:hAnsi="Times New Roman" w:cs="Times New Roman"/>
        </w:rPr>
        <w:t>common comorbidities such as diabetes.</w:t>
      </w:r>
      <w:r w:rsidR="006F7CAC">
        <w:rPr>
          <w:rFonts w:ascii="Times New Roman" w:hAnsi="Times New Roman" w:cs="Times New Roman"/>
        </w:rPr>
        <w:fldChar w:fldCharType="begin"/>
      </w:r>
      <w:r w:rsidR="006F7CAC">
        <w:rPr>
          <w:rFonts w:ascii="Times New Roman" w:hAnsi="Times New Roman" w:cs="Times New Roman"/>
        </w:rPr>
        <w:instrText xml:space="preserve"> ADDIN ZOTERO_ITEM CSL_CITATION {"citationID":"Tf3uT0TT","properties":{"formattedCitation":"\\super 6,7\\nosupersub{}","plainCitation":"6,7","noteIndex":0},"citationItems":[{"id":5603,"uris":["http://zotero.org/groups/5952805/items/XDL8N2DW"],"itemData":{"id":5603,"type":"article-journal","abstract":"Background. Patients with diabetes mellitus are prone to develop osteoporosis, osteomyelitis, or rheumatoid arthritis (RA). Furthermore, the presence of these complications in those with diabetes may lead to higher mortality. The aim of our study was to assess characteristics and mortality of osteoporosis, osteomyelitis, or rheumatoid arthritis in individuals with diabetes. Methods. We analyzed osteoporosis, osteomyelitis, and RA deaths associated with diabetes from 1999–2017 using the CDC WONDER system (CDC WONDER; https://wonder.cdc.gov). We used ICD-10 codes to categorize the underlying and contributing causes of death. Crude mortality rates (CMR) and age-adjusted mortality rates (AAMR) per 1,000,000 person-years were calculated. Results. The AAMR for osteoporosis in the population with diabetes was significantly higher in females (AAMR: 4.17, 95% CI: 4.10–4.24) than in males (AAMR: 1.12, 95% CI: 1.07–1.16). Deaths due to osteoporosis increased gradually from 1999, peaked in 2003 (AAMR: 3.78, 95% CI: 3.55–4.00), and reached a nadir in 2016 (AAMR: 2.32, 95% CI: 2.15–2.48). The AAMR for RA associated with diabetes was slightly higher in females (AAMR: 4.04, 95% CI: 3.98–4.11) than in males (AAMR: 2.45, 95% CI: 2.39–2.51). The mortality rate due to RA increased slightly from 1999 (AAMR: 3.18, 95% CI: 2.97–3.39) to 2017 (AAMR: 3.20, 95% CI: 3.02–3.38). The AAMR for osteomyelitis associated with diabetes was higher in males (AAMR: 4.36, 95% CI: 4.28–4.44) than in females (AAMR: 2.31, 95% CI: 2.26–2.36). From 1999 to 2017, the AAMR from osteomyelitis in this population was 2.63 (95% CI: 2.44–2.82) per 1,000,000 person-years in 1999 and 4.25 (95% CI: 4.05–4.46) per 1,000,000 person-years in 2017. Conclusions. We found an increase in the age-adjusted mortality rates of RA and osteomyelitis and a decrease of osteoporosis associated with diabetes from 1999 to 2017. We suggest that increased attention should therefore be given to these diseases in the population with diabetes, especially in efforts to develop preventative and treatment strategies.","container-title":"International Journal of Endocrinology","DOI":"10.1155/2020/8821978","ISSN":"1687-8345","issue":"1","language":"en","license":"Copyright © 2020 Jin-Feng Huang et al.","note":"_eprint: https://onlinelibrary.wiley.com/doi/pdf/10.1155/2020/8821978","page":"8821978","source":"Wiley Online Library","title":"The Characteristics and Mortality of Osteoporosis, Osteomyelitis, or Rheumatoid Arthritis in the Diabetes Population: A Retrospective Study","title-short":"The Characteristics and Mortality of Osteoporosis, Osteomyelitis, or Rheumatoid Arthritis in the Diabetes Population","volume":"2020","author":[{"family":"Huang","given":"Jin-Feng"},{"family":"Wu","given":"Qi-Nan"},{"family":"Zheng","given":"Xuan-Qi"},{"family":"Sun","given":"Xiao-Lei"},{"family":"Wu","given":"Chen-Yu"},{"family":"Wang","given":"Xiao-Bing"},{"family":"Wu","given":"Chen-Wei"},{"family":"Wang","given":"Bin"},{"family":"Wang","given":"Xiang-Yang"},{"family":"Bergman","given":"Michael"},{"family":"Wu","given":"Ai-Min"}],"issued":{"date-parts":[["2020"]]}}},{"id":5612,"uris":["http://zotero.org/groups/5952805/items/2IV4TQJN"],"itemData":{"id":5612,"type":"article-journal","abstract":"The elderly are predisposed to chronic osteomyelitis because of the immunocompromised nature of aging and increasing number of chronic comorbidities. Chronic osteomyelitis may significantly affect the health of the elderly; however, its impact on long-term mortality remains unclear. We conceived this retrospective nationwide population-based cohort study to address this issue.","container-title":"BMC Geriatrics","DOI":"10.1186/s12877-016-0248-8","ISSN":"1471-2318","issue":"1","journalAbbreviation":"BMC Geriatrics","page":"72","source":"BioMed Central","title":"Chronic osteomyelitis increases long-term mortality risk in the elderly: a nationwide population-based cohort study","title-short":"Chronic osteomyelitis increases long-term mortality risk in the elderly","volume":"16","author":[{"family":"Huang","given":"Chien-Cheng"},{"family":"Tsai","given":"Kang-Ting"},{"family":"Weng","given":"Shih-Feng"},{"family":"Lin","given":"Hung-Jung"},{"family":"Huang","given":"Hung-Sheng"},{"family":"Wang","given":"Jhi-Joung"},{"family":"Guo","given":"How-Ran"},{"family":"Hsu","given":"Chien-Chin"}],"issued":{"date-parts":[["2016",3,31]]}}}],"schema":"https://github.com/citation-style-language/schema/raw/master/csl-citation.json"} </w:instrText>
      </w:r>
      <w:r w:rsidR="006F7CAC">
        <w:rPr>
          <w:rFonts w:ascii="Times New Roman" w:hAnsi="Times New Roman" w:cs="Times New Roman"/>
        </w:rPr>
        <w:fldChar w:fldCharType="separate"/>
      </w:r>
      <w:r w:rsidR="006F7CAC" w:rsidRPr="006F7CAC">
        <w:rPr>
          <w:rFonts w:ascii="Times New Roman" w:hAnsi="Times New Roman" w:cs="Times New Roman"/>
          <w:kern w:val="0"/>
          <w:vertAlign w:val="superscript"/>
        </w:rPr>
        <w:t>6,7</w:t>
      </w:r>
      <w:r w:rsidR="006F7CAC">
        <w:rPr>
          <w:rFonts w:ascii="Times New Roman" w:hAnsi="Times New Roman" w:cs="Times New Roman"/>
        </w:rPr>
        <w:fldChar w:fldCharType="end"/>
      </w:r>
      <w:r w:rsidR="006F7CAC">
        <w:rPr>
          <w:rFonts w:ascii="Times New Roman" w:hAnsi="Times New Roman" w:cs="Times New Roman"/>
        </w:rPr>
        <w:t xml:space="preserve"> </w:t>
      </w:r>
      <w:r w:rsidR="00580094">
        <w:rPr>
          <w:rFonts w:ascii="Times New Roman" w:hAnsi="Times New Roman" w:cs="Times New Roman"/>
        </w:rPr>
        <w:t xml:space="preserve">The estimated prevalence of osteomyelitis is </w:t>
      </w:r>
      <w:r w:rsidR="00115A21">
        <w:rPr>
          <w:rFonts w:ascii="Times New Roman" w:hAnsi="Times New Roman" w:cs="Times New Roman"/>
        </w:rPr>
        <w:t xml:space="preserve">2-5 per 100,000, a </w:t>
      </w:r>
      <w:r w:rsidR="00C4199C">
        <w:rPr>
          <w:rFonts w:ascii="Times New Roman" w:hAnsi="Times New Roman" w:cs="Times New Roman"/>
        </w:rPr>
        <w:t xml:space="preserve">figure that has been increasing </w:t>
      </w:r>
      <w:r w:rsidR="000C5FA2">
        <w:rPr>
          <w:rFonts w:ascii="Times New Roman" w:hAnsi="Times New Roman" w:cs="Times New Roman"/>
        </w:rPr>
        <w:t>over recent decades.</w:t>
      </w:r>
      <w:r w:rsidR="00CB5695">
        <w:rPr>
          <w:rFonts w:ascii="Times New Roman" w:hAnsi="Times New Roman" w:cs="Times New Roman"/>
        </w:rPr>
        <w:fldChar w:fldCharType="begin"/>
      </w:r>
      <w:r w:rsidR="00CB5695">
        <w:rPr>
          <w:rFonts w:ascii="Times New Roman" w:hAnsi="Times New Roman" w:cs="Times New Roman"/>
        </w:rPr>
        <w:instrText xml:space="preserve"> ADDIN ZOTERO_ITEM CSL_CITATION {"citationID":"mCq25mu4","properties":{"formattedCitation":"\\super 8\\nosupersub{}","plainCitation":"8","noteIndex":0},"citationItems":[{"id":5591,"uris":["http://zotero.org/groups/5952805/items/B8UZRD32"],"itemData":{"id":5591,"type":"webpage","abstract":"Learn about Osteomyelitis, including symptoms, causes, and treatments. If you or a loved one is affected by this condition, visit NORD to find resources.","language":"en-US","title":"Osteomyelitis | Bone Infection Symptoms, Causes, Treatment","URL":"https://rarediseases.org/rare-diseases/osteomyelitis/","accessed":{"date-parts":[["2025",5,15]]}}}],"schema":"https://github.com/citation-style-language/schema/raw/master/csl-citation.json"} </w:instrText>
      </w:r>
      <w:r w:rsidR="00CB5695">
        <w:rPr>
          <w:rFonts w:ascii="Times New Roman" w:hAnsi="Times New Roman" w:cs="Times New Roman"/>
        </w:rPr>
        <w:fldChar w:fldCharType="separate"/>
      </w:r>
      <w:r w:rsidR="00CB5695" w:rsidRPr="00CB5695">
        <w:rPr>
          <w:rFonts w:ascii="Times New Roman" w:hAnsi="Times New Roman" w:cs="Times New Roman"/>
          <w:kern w:val="0"/>
          <w:vertAlign w:val="superscript"/>
        </w:rPr>
        <w:t>8</w:t>
      </w:r>
      <w:r w:rsidR="00CB5695">
        <w:rPr>
          <w:rFonts w:ascii="Times New Roman" w:hAnsi="Times New Roman" w:cs="Times New Roman"/>
        </w:rPr>
        <w:fldChar w:fldCharType="end"/>
      </w:r>
      <w:r w:rsidR="00CB5695">
        <w:rPr>
          <w:rFonts w:ascii="Times New Roman" w:hAnsi="Times New Roman" w:cs="Times New Roman"/>
        </w:rPr>
        <w:t xml:space="preserve"> </w:t>
      </w:r>
      <w:r w:rsidR="008825F4">
        <w:rPr>
          <w:rFonts w:ascii="Times New Roman" w:hAnsi="Times New Roman" w:cs="Times New Roman"/>
        </w:rPr>
        <w:t xml:space="preserve">Despite </w:t>
      </w:r>
      <w:r w:rsidR="00D17415">
        <w:rPr>
          <w:rFonts w:ascii="Times New Roman" w:hAnsi="Times New Roman" w:cs="Times New Roman"/>
        </w:rPr>
        <w:t xml:space="preserve">its clinical significance, </w:t>
      </w:r>
      <w:r w:rsidR="0050542F">
        <w:rPr>
          <w:rFonts w:ascii="Times New Roman" w:hAnsi="Times New Roman" w:cs="Times New Roman"/>
        </w:rPr>
        <w:t xml:space="preserve">much of the existing literature on osteomyelitis focuses on </w:t>
      </w:r>
      <w:r w:rsidR="0044099B">
        <w:rPr>
          <w:rFonts w:ascii="Times New Roman" w:hAnsi="Times New Roman" w:cs="Times New Roman"/>
        </w:rPr>
        <w:t xml:space="preserve">incidence, management, and localized outcomes, </w:t>
      </w:r>
      <w:r w:rsidR="00DB2FFD">
        <w:rPr>
          <w:rFonts w:ascii="Times New Roman" w:hAnsi="Times New Roman" w:cs="Times New Roman"/>
        </w:rPr>
        <w:t xml:space="preserve">while the mortality burden of </w:t>
      </w:r>
      <w:r w:rsidR="001F4164">
        <w:rPr>
          <w:rFonts w:ascii="Times New Roman" w:hAnsi="Times New Roman" w:cs="Times New Roman"/>
        </w:rPr>
        <w:t>this condition on a national scale remains understudied.</w:t>
      </w:r>
    </w:p>
    <w:p w14:paraId="55EF506E" w14:textId="19EFE67C" w:rsidR="00132565" w:rsidRDefault="00132565" w:rsidP="00676552">
      <w:pPr>
        <w:spacing w:after="0" w:line="480" w:lineRule="auto"/>
        <w:rPr>
          <w:rFonts w:ascii="Times New Roman" w:hAnsi="Times New Roman" w:cs="Times New Roman"/>
        </w:rPr>
      </w:pPr>
      <w:r>
        <w:rPr>
          <w:rFonts w:ascii="Times New Roman" w:hAnsi="Times New Roman" w:cs="Times New Roman"/>
        </w:rPr>
        <w:tab/>
        <w:t xml:space="preserve">Previous </w:t>
      </w:r>
      <w:r w:rsidR="005413FB">
        <w:rPr>
          <w:rFonts w:ascii="Times New Roman" w:hAnsi="Times New Roman" w:cs="Times New Roman"/>
        </w:rPr>
        <w:t xml:space="preserve">investigations </w:t>
      </w:r>
      <w:r>
        <w:rPr>
          <w:rFonts w:ascii="Times New Roman" w:hAnsi="Times New Roman" w:cs="Times New Roman"/>
        </w:rPr>
        <w:t xml:space="preserve">of </w:t>
      </w:r>
      <w:r w:rsidR="00C066A2">
        <w:rPr>
          <w:rFonts w:ascii="Times New Roman" w:hAnsi="Times New Roman" w:cs="Times New Roman"/>
        </w:rPr>
        <w:t xml:space="preserve">osteomyelitis-related mortality have largely </w:t>
      </w:r>
      <w:r w:rsidR="00D40D5A">
        <w:rPr>
          <w:rFonts w:ascii="Times New Roman" w:hAnsi="Times New Roman" w:cs="Times New Roman"/>
        </w:rPr>
        <w:t xml:space="preserve">centered on </w:t>
      </w:r>
      <w:r w:rsidR="001E291C">
        <w:rPr>
          <w:rFonts w:ascii="Times New Roman" w:hAnsi="Times New Roman" w:cs="Times New Roman"/>
        </w:rPr>
        <w:t xml:space="preserve">vertebral osteomyelitis or </w:t>
      </w:r>
      <w:r w:rsidR="005A6468">
        <w:rPr>
          <w:rFonts w:ascii="Times New Roman" w:hAnsi="Times New Roman" w:cs="Times New Roman"/>
        </w:rPr>
        <w:t xml:space="preserve">international cohorts, </w:t>
      </w:r>
      <w:r w:rsidR="00771CCB">
        <w:rPr>
          <w:rFonts w:ascii="Times New Roman" w:hAnsi="Times New Roman" w:cs="Times New Roman"/>
        </w:rPr>
        <w:t>often within hospital-based studies.</w:t>
      </w:r>
      <w:r w:rsidR="001133F8">
        <w:rPr>
          <w:rFonts w:ascii="Times New Roman" w:hAnsi="Times New Roman" w:cs="Times New Roman"/>
        </w:rPr>
        <w:fldChar w:fldCharType="begin"/>
      </w:r>
      <w:r w:rsidR="001133F8">
        <w:rPr>
          <w:rFonts w:ascii="Times New Roman" w:hAnsi="Times New Roman" w:cs="Times New Roman"/>
        </w:rPr>
        <w:instrText xml:space="preserve"> ADDIN ZOTERO_ITEM CSL_CITATION {"citationID":"ghYYiLbj","properties":{"formattedCitation":"\\super 9\\uc0\\u8211{}12\\nosupersub{}","plainCitation":"9–12","noteIndex":0},"citationItems":[{"id":5605,"uris":["http://zotero.org/groups/5952805/items/K7DX6JKX"],"itemData":{"id":5605,"type":"article-journal","abstract":"Objective To examine the incidence of vertebral osteomyelitis (VO) and the clinical features of VO focusing on risk factors for death using a Japanese nationwide administrative database.\n\nDesign Retrospective observational study.\n\nSetting Hospitals adopting the Diagnosis Procedure Combination system during 2007–2010.\n\nParticipants We identified 7118 patients who were diagnosed with VO (International Classification of Diseases, 10th Revision codes: A18.0, M46.4, M46.5, M46.8, M46.9, M48.9 and M49.3, checked with the detailed diagnoses in each case and all other codes indicating the presence of a specific infection) and hospitalised between July and December, 2007–2010, using the Japanese Diagnosis Procedure Combination database.\n\nMain outcome measures The annual incidence of VO was estimated. Logistic regression analysis was performed to analyse factors affecting in-hospital mortality in the VO patients. Dependent variables included patient characteristics (age, sex and comorbidities), procedures (haemodialysis and surgery) and hospital factors (type of hospital and hospital volume).\n\nResults Overall, 58.9% of eligible patients were men and the average age was 69.2 years. The estimated incidence of VO increased from 5.3/100 000 population per year in 2007 to 7.4/100 000 population per year in 2010. In-hospital mortality was 6%. There was a linear trend between higher rates of in-hospital mortality and greater age. A higher rate of in-hospital mortality was significantly associated with haemodialysis use (ORs, 10.56 (95% CI 8.12 to 13.74)), diabetes (2.37 (1.89 to 2.98)), liver cirrhosis (2.63 (1.49 to 4.63)), malignancy (2.68, (2.10 to 3.42)) and infective endocarditis (3.19 (1.80 to 5.65)).\n\nConclusions Our study demonstrates an increasing incidence of VO, and defines risk factors for death with a nationwide database. Several comorbidities were significantly associated with higher rates of in-hospital death in VO patients.","DOI":"10.1136/bmjopen-2012-002412","language":"en","license":"Published by the BMJ Publishing Group Limited. For permission to use (where not already granted under a licence) please go to http://group.bmj.com/group/rights-licensing/permissions. This is an open-access article distributed under the terms of the Creative Commons Attribution Non-commercial License, which permits use, distribution, and reproduction in any medium, provided the original work is properly cited, the use is non commercial and is otherwise in compliance with the license. See: http://creativecommons.org/licenses/by-nc/3.0/ and http://creativecommons.org/licenses/by-nc/3.0/legalcode","note":"publisher: British Medical Journal Publishing Group\nsection: Infectious diseases","source":"bmjopen.bmj.com","title":"Incidence and risk factors for mortality of vertebral osteomyelitis: a retrospective analysis using the Japanese diagnosis procedure combination database","title-short":"Incidence and risk factors for mortality of vertebral osteomyelitis","URL":"https://bmjopen.bmj.com/content/3/3/e002412?utm_source=chatgpt.com","author":[{"family":"Akiyama","given":"Toru"},{"family":"Chikuda","given":"Hirotaka"},{"family":"Yasunaga","given":"Hideo"},{"family":"Horiguchi","given":"Hiromasa"},{"family":"Fushimi","given":"Kiyohide"},{"family":"Saita","given":"Kazuo"}],"accessed":{"date-parts":[["2025",5,15]]},"issued":{"date-parts":[["2013",1,1]]}}},{"id":5608,"uris":["http://zotero.org/groups/5952805/items/28KBUXHT"],"itemData":{"id":5608,"type":"article-journal","abstract":"Vertebral osteomyelitis (VO) has a high mortality and leads to chronic pain and functional disability. Surgical treatment is often necessary. To date, little is known about the consequences of surgery on patient outcome. The aim of this study was to determine the quality of life (QoL) and mortality rates of surgically treated VO patients for a period of 2 years.","container-title":"European Spine Journal","DOI":"10.1007/s00586-020-06519-z","ISSN":"1432-0932","issue":"6","journalAbbreviation":"Eur Spine J","language":"en","page":"1721-1731","source":"Springer Link","title":"Quality of life and mortality after surgical treatment for vertebral osteomyelitis (VO): a prospective study","title-short":"Quality of life and mortality after surgical treatment for vertebral osteomyelitis (VO)","volume":"30","author":[{"family":"Yagdiran","given":"Ayla"},{"family":"Otto-Lambertz","given":"Christina"},{"family":"Lingscheid","given":"Kristina Michaela"},{"family":"Sircar","given":"Krishnan"},{"family":"Samel","given":"Christina"},{"family":"Scheyerer","given":"Max Joseph"},{"family":"Zarghooni","given":"Kourosh"},{"family":"Eysel","given":"Peer"},{"family":"Sobottke","given":"Rolf"},{"family":"Jung","given":"Norma"},{"family":"Siewe","given":"Jan"}],"issued":{"date-parts":[["2021",6,1]]}}},{"id":5610,"uris":["http://zotero.org/groups/5952805/items/DC5PJVE7"],"itemData":{"id":5610,"type":"article-journal","abstract":"Vertebral osteomyelitis (VO) is a severe clinical entity associated with high mortality rates, especially within the first year after diagnosis. The aim of this single-center prospective cohort study was to identify and compare predictive factors influencing early and late mortality in patients with conservatively and surgically treated VO.","container-title":"Infection","DOI":"10.1007/s15010-025-02541-9","ISSN":"1439-0973","journalAbbreviation":"Infection","language":"en","source":"Springer Link","title":"Early and late mortality in vertebral osteomyelitis: who dies within the first year after diagnosis","title-short":"Early and late mortality in vertebral osteomyelitis","URL":"https://doi.org/10.1007/s15010-025-02541-9","author":[{"family":"Kernich","given":"Nikolaus"},{"family":"Abi-Chokami","given":"Arian"},{"family":"Jung","given":"Norma"},{"family":"Jochimsen","given":"Dorothee"},{"family":"Sircar","given":"Krishnan"},{"family":"Hoffmann","given":"Ada Marie"},{"family":"Meuser","given":"Stefan"},{"family":"Eysel","given":"Peer"},{"family":"Weber","given":"Carolyn"},{"family":"Vinas-Rios","given":"Juan Manuel"},{"family":"Yagdiran","given":"Ayla"},{"family":"Jung","given":"Norma"},{"family":"Yagdiran","given":"Ayla"},{"family":"Kernich","given":"Nikolaus"},{"family":"Sircar","given":"Krishnan"},{"family":"Fischer","given":"Julia"},{"family":"Jochimsen","given":"Dorothee"},{"family":"Weber","given":"Carolyn"},{"family":"Meyer-Schwickerath","given":"Charlotte"},{"literal":"on behalf of the Interdisciplinary Studygroup of Spondylodiscitis – Cologne (IST-SPONDYL)"}],"accessed":{"date-parts":[["2025",5,15]]},"issued":{"date-parts":[["2025",5,9]]}}},{"id":5615,"uris":["http://zotero.org/groups/5952805/items/R7UN5BBK"],"itemData":{"id":5615,"type":"article-journal","abstract":"Background: Pyogenic vertebral osteomyelitis represents a clinical challenge associated with significant morbidity and mortality. The aim of this study was to analyze potential risk factors for the in-hospital mortality of vertebral osteomyelitis (VO) patients. Methods: Based on the International Classification of Diseases, 10th Revision (ICD-10) codes for VO (“M46.2-”, “M46.3-”, and “M46.4-”) data for total case numbers, secondary diagnoses, and numbers of in-hospital deaths were extracted from the Institute for the Hospital Remuneration System (InEK GmbH). Odds ratios (OR) for death were calculated for several secondary diseases and factors of interest. Results: Despite age, certain comorbidities were found to be strongly associated with increased mortality risk: Heart failure (OR = 2.80; 95% CI 2.45 to 3.20; p &lt; 0.01), chronic kidney disease (OR = 1.83; 95% CI 1.57 to 2.13; p &lt; 0.01), and diabetes with complications (OR = 1.86; 95% CI 1.46 to 2.38; p &lt; 0.01). Among the complications, acute liver failure showed the highest risk for in-hospital mortality (OR = 42.41; 95% CI 23.47 to 76.62; p &lt; 0.01). Additionally, stage III kidney failure (OR = 9.81; 95% CI 7.96 to 12.08; p &lt; 0.01), sepsis (OR = 5.94; 95% CI 5.02 to 7.03; p &lt; 0.01), acute respiratory failure (OR = 5.31; 95% CI 4.61 to 6.12; p &lt; 0.01), and systemic inflammatory response syndrome (SIRS) (OR = 5.19; 95% CI 3.69 to 5.19; p &lt; 0.01) were associated with in-hospital mortality. When analyzing the influence of pathogens, documented infection with Pseudomonas aeruginosa had the highest risk for mortality (OR = 2.74; 95% CI 2.07 to 3.63; p &lt; 0.01), followed by Streptococci, Escherichia coli, and Staphylococcus aureus infections. Conclusions: An early assessment of individual patient risk factors may be beneficial in the care and treatment of VO to help reduce the risks of mortality. These findings emphasize the importance of closely monitoring VO patients with chronic organ diseases, early detection and treatment of sepsis, and tailored empirical antibiotic therapy. The identification of specific pathogens and antibiotic susceptibility testing should be prioritized to improve patient outcomes in this high-risk population.","container-title":"Journal of Clinical Medicine","DOI":"10.3390/jcm12144805","ISSN":"2077-0383","issue":"14","journalAbbreviation":"J Clin Med","note":"PMID: 37510920\nPMCID: PMC10381366","page":"4805","source":"PubMed Central","title":"Risk Factors for the In-Hospital Mortality in Pyogenic Vertebral Osteomyelitis: A Cross-Sectional Study on 9753 Patients","title-short":"Risk Factors for the In-Hospital Mortality in Pyogenic Vertebral Osteomyelitis","volume":"12","author":[{"family":"Ziarko","given":"Tomasz Piotr"},{"family":"Walter","given":"Nike"},{"family":"Schindler","given":"Melanie"},{"family":"Alt","given":"Volker"},{"family":"Rupp","given":"Markus"},{"family":"Lang","given":"Siegmund"}],"issued":{"date-parts":[["2023",7,21]]}}}],"schema":"https://github.com/citation-style-language/schema/raw/master/csl-citation.json"} </w:instrText>
      </w:r>
      <w:r w:rsidR="001133F8">
        <w:rPr>
          <w:rFonts w:ascii="Times New Roman" w:hAnsi="Times New Roman" w:cs="Times New Roman"/>
        </w:rPr>
        <w:fldChar w:fldCharType="separate"/>
      </w:r>
      <w:r w:rsidR="001133F8" w:rsidRPr="001133F8">
        <w:rPr>
          <w:rFonts w:ascii="Times New Roman" w:hAnsi="Times New Roman" w:cs="Times New Roman"/>
          <w:kern w:val="0"/>
          <w:vertAlign w:val="superscript"/>
        </w:rPr>
        <w:t>9–12</w:t>
      </w:r>
      <w:r w:rsidR="001133F8">
        <w:rPr>
          <w:rFonts w:ascii="Times New Roman" w:hAnsi="Times New Roman" w:cs="Times New Roman"/>
        </w:rPr>
        <w:fldChar w:fldCharType="end"/>
      </w:r>
      <w:r w:rsidR="00771CCB">
        <w:rPr>
          <w:rFonts w:ascii="Times New Roman" w:hAnsi="Times New Roman" w:cs="Times New Roman"/>
        </w:rPr>
        <w:t xml:space="preserve"> </w:t>
      </w:r>
      <w:r w:rsidR="00F01D8D">
        <w:rPr>
          <w:rFonts w:ascii="Times New Roman" w:hAnsi="Times New Roman" w:cs="Times New Roman"/>
        </w:rPr>
        <w:t xml:space="preserve">These reports suggest that </w:t>
      </w:r>
      <w:r w:rsidR="001133F8">
        <w:rPr>
          <w:rFonts w:ascii="Times New Roman" w:hAnsi="Times New Roman" w:cs="Times New Roman"/>
        </w:rPr>
        <w:t>osteomyelitis is associated with elevated in-hospital and overall mortality, particularly among older adults.</w:t>
      </w:r>
      <w:r w:rsidR="00776D4D">
        <w:rPr>
          <w:rFonts w:ascii="Times New Roman" w:hAnsi="Times New Roman" w:cs="Times New Roman"/>
        </w:rPr>
        <w:fldChar w:fldCharType="begin"/>
      </w:r>
      <w:r w:rsidR="00776D4D">
        <w:rPr>
          <w:rFonts w:ascii="Times New Roman" w:hAnsi="Times New Roman" w:cs="Times New Roman"/>
        </w:rPr>
        <w:instrText xml:space="preserve"> ADDIN ZOTERO_ITEM CSL_CITATION {"citationID":"CRnPajqM","properties":{"formattedCitation":"\\super 9\\uc0\\u8211{}13\\nosupersub{}","plainCitation":"9–13","noteIndex":0},"citationItems":[{"id":5605,"uris":["http://zotero.org/groups/5952805/items/K7DX6JKX"],"itemData":{"id":5605,"type":"article-journal","abstract":"Objective To examine the incidence of vertebral osteomyelitis (VO) and the clinical features of VO focusing on risk factors for death using a Japanese nationwide administrative database.\n\nDesign Retrospective observational study.\n\nSetting Hospitals adopting the Diagnosis Procedure Combination system during 2007–2010.\n\nParticipants We identified 7118 patients who were diagnosed with VO (International Classification of Diseases, 10th Revision codes: A18.0, M46.4, M46.5, M46.8, M46.9, M48.9 and M49.3, checked with the detailed diagnoses in each case and all other codes indicating the presence of a specific infection) and hospitalised between July and December, 2007–2010, using the Japanese Diagnosis Procedure Combination database.\n\nMain outcome measures The annual incidence of VO was estimated. Logistic regression analysis was performed to analyse factors affecting in-hospital mortality in the VO patients. Dependent variables included patient characteristics (age, sex and comorbidities), procedures (haemodialysis and surgery) and hospital factors (type of hospital and hospital volume).\n\nResults Overall, 58.9% of eligible patients were men and the average age was 69.2 years. The estimated incidence of VO increased from 5.3/100 000 population per year in 2007 to 7.4/100 000 population per year in 2010. In-hospital mortality was 6%. There was a linear trend between higher rates of in-hospital mortality and greater age. A higher rate of in-hospital mortality was significantly associated with haemodialysis use (ORs, 10.56 (95% CI 8.12 to 13.74)), diabetes (2.37 (1.89 to 2.98)), liver cirrhosis (2.63 (1.49 to 4.63)), malignancy (2.68, (2.10 to 3.42)) and infective endocarditis (3.19 (1.80 to 5.65)).\n\nConclusions Our study demonstrates an increasing incidence of VO, and defines risk factors for death with a nationwide database. Several comorbidities were significantly associated with higher rates of in-hospital death in VO patients.","DOI":"10.1136/bmjopen-2012-002412","language":"en","license":"Published by the BMJ Publishing Group Limited. For permission to use (where not already granted under a licence) please go to http://group.bmj.com/group/rights-licensing/permissions. This is an open-access article distributed under the terms of the Creative Commons Attribution Non-commercial License, which permits use, distribution, and reproduction in any medium, provided the original work is properly cited, the use is non commercial and is otherwise in compliance with the license. See: http://creativecommons.org/licenses/by-nc/3.0/ and http://creativecommons.org/licenses/by-nc/3.0/legalcode","note":"publisher: British Medical Journal Publishing Group\nsection: Infectious diseases","source":"bmjopen.bmj.com","title":"Incidence and risk factors for mortality of vertebral osteomyelitis: a retrospective analysis using the Japanese diagnosis procedure combination database","title-short":"Incidence and risk factors for mortality of vertebral osteomyelitis","URL":"https://bmjopen.bmj.com/content/3/3/e002412?utm_source=chatgpt.com","author":[{"family":"Akiyama","given":"Toru"},{"family":"Chikuda","given":"Hirotaka"},{"family":"Yasunaga","given":"Hideo"},{"family":"Horiguchi","given":"Hiromasa"},{"family":"Fushimi","given":"Kiyohide"},{"family":"Saita","given":"Kazuo"}],"accessed":{"date-parts":[["2025",5,15]]},"issued":{"date-parts":[["2013",1,1]]}}},{"id":5608,"uris":["http://zotero.org/groups/5952805/items/28KBUXHT"],"itemData":{"id":5608,"type":"article-journal","abstract":"Vertebral osteomyelitis (VO) has a high mortality and leads to chronic pain and functional disability. Surgical treatment is often necessary. To date, little is known about the consequences of surgery on patient outcome. The aim of this study was to determine the quality of life (QoL) and mortality rates of surgically treated VO patients for a period of 2 years.","container-title":"European Spine Journal","DOI":"10.1007/s00586-020-06519-z","ISSN":"1432-0932","issue":"6","journalAbbreviation":"Eur Spine J","language":"en","page":"1721-1731","source":"Springer Link","title":"Quality of life and mortality after surgical treatment for vertebral osteomyelitis (VO): a prospective study","title-short":"Quality of life and mortality after surgical treatment for vertebral osteomyelitis (VO)","volume":"30","author":[{"family":"Yagdiran","given":"Ayla"},{"family":"Otto-Lambertz","given":"Christina"},{"family":"Lingscheid","given":"Kristina Michaela"},{"family":"Sircar","given":"Krishnan"},{"family":"Samel","given":"Christina"},{"family":"Scheyerer","given":"Max Joseph"},{"family":"Zarghooni","given":"Kourosh"},{"family":"Eysel","given":"Peer"},{"family":"Sobottke","given":"Rolf"},{"family":"Jung","given":"Norma"},{"family":"Siewe","given":"Jan"}],"issued":{"date-parts":[["2021",6,1]]}}},{"id":5610,"uris":["http://zotero.org/groups/5952805/items/DC5PJVE7"],"itemData":{"id":5610,"type":"article-journal","abstract":"Vertebral osteomyelitis (VO) is a severe clinical entity associated with high mortality rates, especially within the first year after diagnosis. The aim of this single-center prospective cohort study was to identify and compare predictive factors influencing early and late mortality in patients with conservatively and surgically treated VO.","container-title":"Infection","DOI":"10.1007/s15010-025-02541-9","ISSN":"1439-0973","journalAbbreviation":"Infection","language":"en","source":"Springer Link","title":"Early and late mortality in vertebral osteomyelitis: who dies within the first year after diagnosis","title-short":"Early and late mortality in vertebral osteomyelitis","URL":"https://doi.org/10.1007/s15010-025-02541-9","author":[{"family":"Kernich","given":"Nikolaus"},{"family":"Abi-Chokami","given":"Arian"},{"family":"Jung","given":"Norma"},{"family":"Jochimsen","given":"Dorothee"},{"family":"Sircar","given":"Krishnan"},{"family":"Hoffmann","given":"Ada Marie"},{"family":"Meuser","given":"Stefan"},{"family":"Eysel","given":"Peer"},{"family":"Weber","given":"Carolyn"},{"family":"Vinas-Rios","given":"Juan Manuel"},{"family":"Yagdiran","given":"Ayla"},{"family":"Jung","given":"Norma"},{"family":"Yagdiran","given":"Ayla"},{"family":"Kernich","given":"Nikolaus"},{"family":"Sircar","given":"Krishnan"},{"family":"Fischer","given":"Julia"},{"family":"Jochimsen","given":"Dorothee"},{"family":"Weber","given":"Carolyn"},{"family":"Meyer-Schwickerath","given":"Charlotte"},{"literal":"on behalf of the Interdisciplinary Studygroup of Spondylodiscitis – Cologne (IST-SPONDYL)"}],"accessed":{"date-parts":[["2025",5,15]]},"issued":{"date-parts":[["2025",5,9]]}}},{"id":5615,"uris":["http://zotero.org/groups/5952805/items/R7UN5BBK"],"itemData":{"id":5615,"type":"article-journal","abstract":"Background: Pyogenic vertebral osteomyelitis represents a clinical challenge associated with significant morbidity and mortality. The aim of this study was to analyze potential risk factors for the in-hospital mortality of vertebral osteomyelitis (VO) patients. Methods: Based on the International Classification of Diseases, 10th Revision (ICD-10) codes for VO (“M46.2-”, “M46.3-”, and “M46.4-”) data for total case numbers, secondary diagnoses, and numbers of in-hospital deaths were extracted from the Institute for the Hospital Remuneration System (InEK GmbH). Odds ratios (OR) for death were calculated for several secondary diseases and factors of interest. Results: Despite age, certain comorbidities were found to be strongly associated with increased mortality risk: Heart failure (OR = 2.80; 95% CI 2.45 to 3.20; p &lt; 0.01), chronic kidney disease (OR = 1.83; 95% CI 1.57 to 2.13; p &lt; 0.01), and diabetes with complications (OR = 1.86; 95% CI 1.46 to 2.38; p &lt; 0.01). Among the complications, acute liver failure showed the highest risk for in-hospital mortality (OR = 42.41; 95% CI 23.47 to 76.62; p &lt; 0.01). Additionally, stage III kidney failure (OR = 9.81; 95% CI 7.96 to 12.08; p &lt; 0.01), sepsis (OR = 5.94; 95% CI 5.02 to 7.03; p &lt; 0.01), acute respiratory failure (OR = 5.31; 95% CI 4.61 to 6.12; p &lt; 0.01), and systemic inflammatory response syndrome (SIRS) (OR = 5.19; 95% CI 3.69 to 5.19; p &lt; 0.01) were associated with in-hospital mortality. When analyzing the influence of pathogens, documented infection with Pseudomonas aeruginosa had the highest risk for mortality (OR = 2.74; 95% CI 2.07 to 3.63; p &lt; 0.01), followed by Streptococci, Escherichia coli, and Staphylococcus aureus infections. Conclusions: An early assessment of individual patient risk factors may be beneficial in the care and treatment of VO to help reduce the risks of mortality. These findings emphasize the importance of closely monitoring VO patients with chronic organ diseases, early detection and treatment of sepsis, and tailored empirical antibiotic therapy. The identification of specific pathogens and antibiotic susceptibility testing should be prioritized to improve patient outcomes in this high-risk population.","container-title":"Journal of Clinical Medicine","DOI":"10.3390/jcm12144805","ISSN":"2077-0383","issue":"14","journalAbbreviation":"J Clin Med","note":"PMID: 37510920\nPMCID: PMC10381366","page":"4805","source":"PubMed Central","title":"Risk Factors for the In-Hospital Mortality in Pyogenic Vertebral Osteomyelitis: A Cross-Sectional Study on 9753 Patients","title-short":"Risk Factors for the In-Hospital Mortality in Pyogenic Vertebral Osteomyelitis","volume":"12","author":[{"family":"Ziarko","given":"Tomasz Piotr"},{"family":"Walter","given":"Nike"},{"family":"Schindler","given":"Melanie"},{"family":"Alt","given":"Volker"},{"family":"Rupp","given":"Markus"},{"family":"Lang","given":"Siegmund"}],"issued":{"date-parts":[["2023",7,21]]}}},{"id":5618,"uris":["http://zotero.org/groups/5952805/items/8J7Y3YNA"],"itemData":{"id":5618,"type":"article-journal","abstract":"After severe infection in osteomyelitis patients in the Intensive Care Unit (ICU), there’s a higher risk of mortality. However, limited research exists on predicting prognosis. Develop a predictive model for 1-year mortality risk in ICU-admitted osteomyelitis patients to inform clinical diagnosis and treatment. MIMIC IV database was used to retrieve ICU data for osteomyelitis patients. The data were randomly split into training and validation sets (7:3 ratio). Univariate and multiple logistic regression identified independent predictors of one-year mortality and constructed a risk prediction nomogram in the training set. Predictive value of the nomogram was assessed using C-indexes, ROC curves, DCA, CIC and calibration curves. This study included a total of 1153 osteomyelitis patients, with 137 deaths within one year. These patients were randomly divided into training (N = 807) and validation (N = 346) sets. In the training set, multiple features were identified as key predictors of one-year mortality in osteomyelitis patients in the ICU. These factors were incorporated into the nomogram model, demonstrating good identification performance, with AUCs of 0.872 and 0.826 for the training and validation sets, respectively. The calibration curve and ROC curve indicate excellent predictive accuracy. DCA suggests strong clinical utility and robust predictive efficiency. Further analysis through CIC illustrates the clinical effectiveness of this predictive model. We have developed a nomogram model to predict the 1-year mortality rate for osteomyelitis patients admitted to the ICU, providing valuable predictive information for clinical decision-making.","container-title":"Scientific Reports","DOI":"10.1038/s41598-024-83418-z","ISSN":"2045-2322","issue":"1","journalAbbreviation":"Sci Rep","language":"en","license":"2024 The Author(s)","note":"publisher: Nature Publishing Group","page":"318","source":"www.nature.com","title":"Development and validation of a prognostic nomogram model for severe osteomyelitis patients","volume":"15","author":[{"family":"Liu","given":"Yunlong"},{"family":"Zheng","given":"Yan"},{"family":"Ding","given":"Sheng"}],"issued":{"date-parts":[["2025",1,2]]}}}],"schema":"https://github.com/citation-style-language/schema/raw/master/csl-citation.json"} </w:instrText>
      </w:r>
      <w:r w:rsidR="00776D4D">
        <w:rPr>
          <w:rFonts w:ascii="Times New Roman" w:hAnsi="Times New Roman" w:cs="Times New Roman"/>
        </w:rPr>
        <w:fldChar w:fldCharType="separate"/>
      </w:r>
      <w:r w:rsidR="00776D4D" w:rsidRPr="00776D4D">
        <w:rPr>
          <w:rFonts w:ascii="Times New Roman" w:hAnsi="Times New Roman" w:cs="Times New Roman"/>
          <w:kern w:val="0"/>
          <w:vertAlign w:val="superscript"/>
        </w:rPr>
        <w:t>9–13</w:t>
      </w:r>
      <w:r w:rsidR="00776D4D">
        <w:rPr>
          <w:rFonts w:ascii="Times New Roman" w:hAnsi="Times New Roman" w:cs="Times New Roman"/>
        </w:rPr>
        <w:fldChar w:fldCharType="end"/>
      </w:r>
      <w:r w:rsidR="001133F8">
        <w:rPr>
          <w:rFonts w:ascii="Times New Roman" w:hAnsi="Times New Roman" w:cs="Times New Roman"/>
        </w:rPr>
        <w:t xml:space="preserve"> </w:t>
      </w:r>
      <w:r w:rsidR="007D7711">
        <w:rPr>
          <w:rFonts w:ascii="Times New Roman" w:hAnsi="Times New Roman" w:cs="Times New Roman"/>
        </w:rPr>
        <w:t xml:space="preserve">However, they offer limited insight into long-term mortality trends and disparities by sex, race, age, and osteomyelitis subtype across the United States population. </w:t>
      </w:r>
      <w:r w:rsidR="009624CE">
        <w:rPr>
          <w:rFonts w:ascii="Times New Roman" w:hAnsi="Times New Roman" w:cs="Times New Roman"/>
        </w:rPr>
        <w:t xml:space="preserve">To address this gap, </w:t>
      </w:r>
      <w:r w:rsidR="007F6D17">
        <w:rPr>
          <w:rFonts w:ascii="Times New Roman" w:hAnsi="Times New Roman" w:cs="Times New Roman"/>
        </w:rPr>
        <w:t>we conducted a study of osteomyelitis-related deaths in the United States from 1999 to 2020 using</w:t>
      </w:r>
      <w:r w:rsidR="009F4F41">
        <w:rPr>
          <w:rFonts w:ascii="Times New Roman" w:hAnsi="Times New Roman" w:cs="Times New Roman"/>
        </w:rPr>
        <w:t xml:space="preserve"> national mortality data. </w:t>
      </w:r>
      <w:r w:rsidR="00D304FF">
        <w:rPr>
          <w:rFonts w:ascii="Times New Roman" w:hAnsi="Times New Roman" w:cs="Times New Roman"/>
        </w:rPr>
        <w:t>Our objective was to quantify age-adjusted mortality trends over time and identify demographic disparities in osteomyelitis-related mortality.</w:t>
      </w:r>
    </w:p>
    <w:p w14:paraId="43040E00" w14:textId="77777777" w:rsidR="007D7711" w:rsidRPr="0055472F" w:rsidRDefault="007D7711" w:rsidP="00676552">
      <w:pPr>
        <w:spacing w:after="0" w:line="480" w:lineRule="auto"/>
        <w:rPr>
          <w:rFonts w:ascii="Times New Roman" w:hAnsi="Times New Roman" w:cs="Times New Roman"/>
        </w:rPr>
      </w:pPr>
    </w:p>
    <w:p w14:paraId="0531A8F1" w14:textId="6F8F285B" w:rsidR="00676552" w:rsidRPr="0055472F" w:rsidRDefault="00676552" w:rsidP="00676552">
      <w:pPr>
        <w:spacing w:after="0" w:line="480" w:lineRule="auto"/>
        <w:rPr>
          <w:rFonts w:ascii="Times New Roman" w:hAnsi="Times New Roman" w:cs="Times New Roman"/>
        </w:rPr>
      </w:pPr>
      <w:r w:rsidRPr="0055472F">
        <w:rPr>
          <w:rFonts w:ascii="Times New Roman" w:hAnsi="Times New Roman" w:cs="Times New Roman"/>
          <w:b/>
          <w:bCs/>
        </w:rPr>
        <w:t>Methods</w:t>
      </w:r>
    </w:p>
    <w:p w14:paraId="414A6329" w14:textId="60CDB03A" w:rsidR="0055472F" w:rsidRPr="0055472F" w:rsidRDefault="0055472F" w:rsidP="0055472F">
      <w:pPr>
        <w:spacing w:after="0" w:line="480" w:lineRule="auto"/>
        <w:ind w:firstLine="720"/>
        <w:rPr>
          <w:rFonts w:ascii="Times New Roman" w:eastAsia="Times New Roman" w:hAnsi="Times New Roman" w:cs="Times New Roman"/>
          <w:kern w:val="0"/>
          <w14:ligatures w14:val="none"/>
        </w:rPr>
      </w:pPr>
      <w:r w:rsidRPr="0055472F">
        <w:rPr>
          <w:rFonts w:ascii="Times New Roman" w:eastAsia="Times New Roman" w:hAnsi="Times New Roman" w:cs="Times New Roman"/>
          <w:color w:val="000000"/>
          <w:kern w:val="0"/>
          <w14:ligatures w14:val="none"/>
        </w:rPr>
        <w:t xml:space="preserve">We conducted a population-based, cross-sectional study using national mortality data from the Centers for Disease Control and Prevention (CDC) Wide-ranging Online Data for Epidemiologic Research (WONDER) platform. The study included all U.S. resident deaths from </w:t>
      </w:r>
      <w:r w:rsidRPr="0055472F">
        <w:rPr>
          <w:rFonts w:ascii="Times New Roman" w:eastAsia="Times New Roman" w:hAnsi="Times New Roman" w:cs="Times New Roman"/>
          <w:color w:val="000000"/>
          <w:kern w:val="0"/>
          <w14:ligatures w14:val="none"/>
        </w:rPr>
        <w:lastRenderedPageBreak/>
        <w:t>1999 to 2020 in which osteomyelitis was listed as a multiple cause of death, meaning it appeared anywhere on the death certificate, either as the underlying or a contributing cause.</w:t>
      </w:r>
      <w:r>
        <w:rPr>
          <w:rFonts w:ascii="Times New Roman" w:eastAsia="Times New Roman" w:hAnsi="Times New Roman" w:cs="Times New Roman"/>
          <w:color w:val="000000"/>
          <w:kern w:val="0"/>
          <w14:ligatures w14:val="none"/>
        </w:rPr>
        <w:fldChar w:fldCharType="begin"/>
      </w:r>
      <w:r w:rsidR="00F93ED4">
        <w:rPr>
          <w:rFonts w:ascii="Times New Roman" w:eastAsia="Times New Roman" w:hAnsi="Times New Roman" w:cs="Times New Roman"/>
          <w:color w:val="000000"/>
          <w:kern w:val="0"/>
          <w14:ligatures w14:val="none"/>
        </w:rPr>
        <w:instrText xml:space="preserve"> ADDIN ZOTERO_ITEM CSL_CITATION {"citationID":"m7s3qKd3","properties":{"formattedCitation":"\\super 14\\nosupersub{}","plainCitation":"14","noteIndex":0},"citationItems":[{"id":5572,"uris":["http://zotero.org/groups/5952805/items/CSPPI9H8"],"itemData":{"id":5572,"type":"webpage","container-title":"Centers for Disease Control and Prevention","title":"CDC WONDER","URL":"https://wonder.cdc.gov/","author":[{"family":"Centers for Disease Control and Prevention","given":""}],"accessed":{"date-parts":[["2025",4,15]]},"issued":{"date-parts":[["2025",4,8]]}}}],"schema":"https://github.com/citation-style-language/schema/raw/master/csl-citation.json"} </w:instrText>
      </w:r>
      <w:r>
        <w:rPr>
          <w:rFonts w:ascii="Times New Roman" w:eastAsia="Times New Roman" w:hAnsi="Times New Roman" w:cs="Times New Roman"/>
          <w:color w:val="000000"/>
          <w:kern w:val="0"/>
          <w14:ligatures w14:val="none"/>
        </w:rPr>
        <w:fldChar w:fldCharType="separate"/>
      </w:r>
      <w:r w:rsidR="00F93ED4" w:rsidRPr="00F93ED4">
        <w:rPr>
          <w:rFonts w:ascii="Times New Roman" w:hAnsi="Times New Roman" w:cs="Times New Roman"/>
          <w:color w:val="000000"/>
          <w:kern w:val="0"/>
          <w:vertAlign w:val="superscript"/>
        </w:rPr>
        <w:t>14</w:t>
      </w:r>
      <w:r>
        <w:rPr>
          <w:rFonts w:ascii="Times New Roman" w:eastAsia="Times New Roman" w:hAnsi="Times New Roman" w:cs="Times New Roman"/>
          <w:color w:val="000000"/>
          <w:kern w:val="0"/>
          <w14:ligatures w14:val="none"/>
        </w:rPr>
        <w:fldChar w:fldCharType="end"/>
      </w:r>
      <w:r w:rsidRPr="0055472F">
        <w:rPr>
          <w:rFonts w:ascii="Times New Roman" w:eastAsia="Times New Roman" w:hAnsi="Times New Roman" w:cs="Times New Roman"/>
          <w:color w:val="000000"/>
          <w:kern w:val="0"/>
          <w14:ligatures w14:val="none"/>
        </w:rPr>
        <w:t xml:space="preserve"> </w:t>
      </w:r>
    </w:p>
    <w:p w14:paraId="5DCAF79B" w14:textId="286013A0" w:rsidR="0055472F" w:rsidRPr="0055472F" w:rsidRDefault="0055472F" w:rsidP="0055472F">
      <w:pPr>
        <w:spacing w:after="0" w:line="480" w:lineRule="auto"/>
        <w:ind w:firstLine="720"/>
        <w:rPr>
          <w:rFonts w:ascii="Times New Roman" w:eastAsia="Times New Roman" w:hAnsi="Times New Roman" w:cs="Times New Roman"/>
          <w:kern w:val="0"/>
          <w14:ligatures w14:val="none"/>
        </w:rPr>
      </w:pPr>
      <w:r w:rsidRPr="0055472F">
        <w:rPr>
          <w:rFonts w:ascii="Times New Roman" w:eastAsia="Times New Roman" w:hAnsi="Times New Roman" w:cs="Times New Roman"/>
          <w:color w:val="000000"/>
          <w:kern w:val="0"/>
          <w14:ligatures w14:val="none"/>
        </w:rPr>
        <w:t>Because the dataset represents the full population of death certificates filed during the study period, no sampling was performed.</w:t>
      </w:r>
      <w:r w:rsidR="00FE7223">
        <w:rPr>
          <w:rFonts w:ascii="Times New Roman" w:eastAsia="Times New Roman" w:hAnsi="Times New Roman" w:cs="Times New Roman"/>
          <w:color w:val="000000"/>
          <w:kern w:val="0"/>
          <w14:ligatures w14:val="none"/>
        </w:rPr>
        <w:fldChar w:fldCharType="begin"/>
      </w:r>
      <w:r w:rsidR="00F93ED4">
        <w:rPr>
          <w:rFonts w:ascii="Times New Roman" w:eastAsia="Times New Roman" w:hAnsi="Times New Roman" w:cs="Times New Roman"/>
          <w:color w:val="000000"/>
          <w:kern w:val="0"/>
          <w14:ligatures w14:val="none"/>
        </w:rPr>
        <w:instrText xml:space="preserve"> ADDIN ZOTERO_ITEM CSL_CITATION {"citationID":"tmgDgUEq","properties":{"formattedCitation":"\\super 15\\nosupersub{}","plainCitation":"15","noteIndex":0},"citationItems":[{"id":5573,"uris":["http://zotero.org/groups/5952805/items/4EX9XING"],"itemData":{"id":5573,"type":"webpage","container-title":"CDC WONDER","title":"WONDER Help","URL":"https://wonder.cdc.gov/wonder/help/main.html","accessed":{"date-parts":[["2025",4,15]]},"issued":{"date-parts":[["2025",4,8]]}}}],"schema":"https://github.com/citation-style-language/schema/raw/master/csl-citation.json"} </w:instrText>
      </w:r>
      <w:r w:rsidR="00FE7223">
        <w:rPr>
          <w:rFonts w:ascii="Times New Roman" w:eastAsia="Times New Roman" w:hAnsi="Times New Roman" w:cs="Times New Roman"/>
          <w:color w:val="000000"/>
          <w:kern w:val="0"/>
          <w14:ligatures w14:val="none"/>
        </w:rPr>
        <w:fldChar w:fldCharType="separate"/>
      </w:r>
      <w:r w:rsidR="00F93ED4" w:rsidRPr="00F93ED4">
        <w:rPr>
          <w:rFonts w:ascii="Times New Roman" w:hAnsi="Times New Roman" w:cs="Times New Roman"/>
          <w:color w:val="000000"/>
          <w:kern w:val="0"/>
          <w:vertAlign w:val="superscript"/>
        </w:rPr>
        <w:t>15</w:t>
      </w:r>
      <w:r w:rsidR="00FE7223">
        <w:rPr>
          <w:rFonts w:ascii="Times New Roman" w:eastAsia="Times New Roman" w:hAnsi="Times New Roman" w:cs="Times New Roman"/>
          <w:color w:val="000000"/>
          <w:kern w:val="0"/>
          <w14:ligatures w14:val="none"/>
        </w:rPr>
        <w:fldChar w:fldCharType="end"/>
      </w:r>
      <w:r w:rsidRPr="0055472F">
        <w:rPr>
          <w:rFonts w:ascii="Times New Roman" w:eastAsia="Times New Roman" w:hAnsi="Times New Roman" w:cs="Times New Roman"/>
          <w:color w:val="000000"/>
          <w:kern w:val="0"/>
          <w14:ligatures w14:val="none"/>
        </w:rPr>
        <w:t xml:space="preserve"> The data are drawn from the National Vital Statistics System (NVSS) and represent complete death records submitted by state vital registration offices.</w:t>
      </w:r>
      <w:r w:rsidRPr="0055472F">
        <w:rPr>
          <w:rFonts w:ascii="Times New Roman" w:eastAsia="Times New Roman" w:hAnsi="Times New Roman" w:cs="Times New Roman"/>
          <w:kern w:val="0"/>
          <w14:ligatures w14:val="none"/>
        </w:rPr>
        <w:t xml:space="preserve"> </w:t>
      </w:r>
    </w:p>
    <w:p w14:paraId="4E89DBBC" w14:textId="16EAE142" w:rsidR="0055472F" w:rsidRPr="0055472F" w:rsidRDefault="0055472F" w:rsidP="0055472F">
      <w:pPr>
        <w:spacing w:after="0" w:line="480" w:lineRule="auto"/>
        <w:rPr>
          <w:rFonts w:ascii="Times New Roman" w:eastAsia="Times New Roman" w:hAnsi="Times New Roman" w:cs="Times New Roman"/>
          <w:kern w:val="0"/>
          <w14:ligatures w14:val="none"/>
        </w:rPr>
      </w:pPr>
      <w:r w:rsidRPr="0055472F">
        <w:rPr>
          <w:rFonts w:ascii="Times New Roman" w:eastAsia="Times New Roman" w:hAnsi="Times New Roman" w:cs="Times New Roman"/>
          <w:color w:val="000000"/>
          <w:kern w:val="0"/>
          <w14:ligatures w14:val="none"/>
        </w:rPr>
        <w:tab/>
        <w:t>Data were accessed and downloaded using CDC WONDER’s Multiple Cause of Death query tool.</w:t>
      </w:r>
      <w:r>
        <w:rPr>
          <w:rFonts w:ascii="Times New Roman" w:eastAsia="Times New Roman" w:hAnsi="Times New Roman" w:cs="Times New Roman"/>
          <w:color w:val="000000"/>
          <w:kern w:val="0"/>
          <w14:ligatures w14:val="none"/>
        </w:rPr>
        <w:fldChar w:fldCharType="begin"/>
      </w:r>
      <w:r w:rsidR="00F93ED4">
        <w:rPr>
          <w:rFonts w:ascii="Times New Roman" w:eastAsia="Times New Roman" w:hAnsi="Times New Roman" w:cs="Times New Roman"/>
          <w:color w:val="000000"/>
          <w:kern w:val="0"/>
          <w14:ligatures w14:val="none"/>
        </w:rPr>
        <w:instrText xml:space="preserve"> ADDIN ZOTERO_ITEM CSL_CITATION {"citationID":"lheOeSp2","properties":{"formattedCitation":"\\super 14\\nosupersub{}","plainCitation":"14","noteIndex":0},"citationItems":[{"id":5572,"uris":["http://zotero.org/groups/5952805/items/CSPPI9H8"],"itemData":{"id":5572,"type":"webpage","container-title":"Centers for Disease Control and Prevention","title":"CDC WONDER","URL":"https://wonder.cdc.gov/","author":[{"family":"Centers for Disease Control and Prevention","given":""}],"accessed":{"date-parts":[["2025",4,15]]},"issued":{"date-parts":[["2025",4,8]]}}}],"schema":"https://github.com/citation-style-language/schema/raw/master/csl-citation.json"} </w:instrText>
      </w:r>
      <w:r>
        <w:rPr>
          <w:rFonts w:ascii="Times New Roman" w:eastAsia="Times New Roman" w:hAnsi="Times New Roman" w:cs="Times New Roman"/>
          <w:color w:val="000000"/>
          <w:kern w:val="0"/>
          <w14:ligatures w14:val="none"/>
        </w:rPr>
        <w:fldChar w:fldCharType="separate"/>
      </w:r>
      <w:r w:rsidR="00F93ED4" w:rsidRPr="00F93ED4">
        <w:rPr>
          <w:rFonts w:ascii="Times New Roman" w:hAnsi="Times New Roman" w:cs="Times New Roman"/>
          <w:color w:val="000000"/>
          <w:kern w:val="0"/>
          <w:vertAlign w:val="superscript"/>
        </w:rPr>
        <w:t>14</w:t>
      </w:r>
      <w:r>
        <w:rPr>
          <w:rFonts w:ascii="Times New Roman" w:eastAsia="Times New Roman" w:hAnsi="Times New Roman" w:cs="Times New Roman"/>
          <w:color w:val="000000"/>
          <w:kern w:val="0"/>
          <w14:ligatures w14:val="none"/>
        </w:rPr>
        <w:fldChar w:fldCharType="end"/>
      </w:r>
      <w:r w:rsidRPr="0055472F">
        <w:rPr>
          <w:rFonts w:ascii="Times New Roman" w:eastAsia="Times New Roman" w:hAnsi="Times New Roman" w:cs="Times New Roman"/>
          <w:color w:val="000000"/>
          <w:kern w:val="0"/>
          <w14:ligatures w14:val="none"/>
        </w:rPr>
        <w:t xml:space="preserve"> Osteomyelitis-related deaths were identified using ICD-10 code M86. The following variables were extracted: number of deaths; crude mortality rate (per 100,000 population); and age-adjusted mortality rate</w:t>
      </w:r>
      <w:r w:rsidR="000F25EB">
        <w:rPr>
          <w:rFonts w:ascii="Times New Roman" w:eastAsia="Times New Roman" w:hAnsi="Times New Roman" w:cs="Times New Roman"/>
          <w:color w:val="000000"/>
          <w:kern w:val="0"/>
          <w14:ligatures w14:val="none"/>
        </w:rPr>
        <w:t xml:space="preserve"> (AAMR)</w:t>
      </w:r>
      <w:r w:rsidRPr="0055472F">
        <w:rPr>
          <w:rFonts w:ascii="Times New Roman" w:eastAsia="Times New Roman" w:hAnsi="Times New Roman" w:cs="Times New Roman"/>
          <w:color w:val="000000"/>
          <w:kern w:val="0"/>
          <w14:ligatures w14:val="none"/>
        </w:rPr>
        <w:t>, standardized to the 2000 U.S. standard population. We further stratified the data by: sex (male, female); race/ethnicity (non-Hispanic White, non-Hispanic Black, Hispanic, Asian or Pacific Islander, American Indian/Alaska Native); and age group (&lt;45, 45–64, and ≥65 years). Population denominators were provided by CDC WONDER, based on bridged-race census estimates.</w:t>
      </w:r>
    </w:p>
    <w:p w14:paraId="19BFA0C1" w14:textId="3233CD66" w:rsidR="0055472F" w:rsidRPr="0055472F" w:rsidRDefault="0055472F" w:rsidP="0055472F">
      <w:pPr>
        <w:spacing w:after="0" w:line="480" w:lineRule="auto"/>
        <w:ind w:firstLine="720"/>
        <w:rPr>
          <w:rFonts w:ascii="Times New Roman" w:eastAsia="Times New Roman" w:hAnsi="Times New Roman" w:cs="Times New Roman"/>
          <w:kern w:val="0"/>
          <w14:ligatures w14:val="none"/>
        </w:rPr>
      </w:pPr>
      <w:r w:rsidRPr="0055472F">
        <w:rPr>
          <w:rFonts w:ascii="Times New Roman" w:eastAsia="Times New Roman" w:hAnsi="Times New Roman" w:cs="Times New Roman"/>
          <w:color w:val="000000"/>
          <w:kern w:val="0"/>
          <w14:ligatures w14:val="none"/>
        </w:rPr>
        <w:t xml:space="preserve">Descriptive statistics were used to summarize the burden of osteomyelitis-related mortality. We calculated crude and age-adjusted mortality rates for the overall population and for each demographic subgroup. To assess temporal trends, we plotted annual age-adjusted mortality rates from 1999 to 2020 and conducted linear regression </w:t>
      </w:r>
      <w:r w:rsidR="00977B0C">
        <w:rPr>
          <w:rFonts w:ascii="Times New Roman" w:eastAsia="Times New Roman" w:hAnsi="Times New Roman" w:cs="Times New Roman"/>
          <w:color w:val="000000"/>
          <w:kern w:val="0"/>
          <w14:ligatures w14:val="none"/>
        </w:rPr>
        <w:t xml:space="preserve">while calculating </w:t>
      </w:r>
      <w:r w:rsidR="00BE4597">
        <w:rPr>
          <w:rFonts w:ascii="Times New Roman" w:eastAsia="Times New Roman" w:hAnsi="Times New Roman" w:cs="Times New Roman"/>
          <w:color w:val="000000"/>
          <w:kern w:val="0"/>
          <w14:ligatures w14:val="none"/>
        </w:rPr>
        <w:t>annual percent change (APC)</w:t>
      </w:r>
      <w:r w:rsidRPr="0055472F">
        <w:rPr>
          <w:rFonts w:ascii="Times New Roman" w:eastAsia="Times New Roman" w:hAnsi="Times New Roman" w:cs="Times New Roman"/>
          <w:color w:val="000000"/>
          <w:kern w:val="0"/>
          <w14:ligatures w14:val="none"/>
        </w:rPr>
        <w:t>. We calculated rate differences and rate ratios between demographic groups to identify disparities in osteomyelitis-related mortality. All statistical tests were performed using R (version 4.3.1).</w:t>
      </w:r>
    </w:p>
    <w:p w14:paraId="6786BD57" w14:textId="77777777" w:rsidR="0055472F" w:rsidRPr="0055472F" w:rsidRDefault="0055472F" w:rsidP="0055472F">
      <w:pPr>
        <w:spacing w:after="0" w:line="480" w:lineRule="auto"/>
        <w:ind w:firstLine="720"/>
        <w:rPr>
          <w:rFonts w:ascii="Times New Roman" w:eastAsia="Times New Roman" w:hAnsi="Times New Roman" w:cs="Times New Roman"/>
          <w:kern w:val="0"/>
          <w14:ligatures w14:val="none"/>
        </w:rPr>
      </w:pPr>
      <w:r w:rsidRPr="0055472F">
        <w:rPr>
          <w:rFonts w:ascii="Times New Roman" w:eastAsia="Times New Roman" w:hAnsi="Times New Roman" w:cs="Times New Roman"/>
          <w:color w:val="000000"/>
          <w:kern w:val="0"/>
          <w14:ligatures w14:val="none"/>
        </w:rPr>
        <w:t>Because this study used publicly available, de-identified data, it was considered not human subjects research and was exempt from institutional review board approval.</w:t>
      </w:r>
    </w:p>
    <w:p w14:paraId="3D74609B" w14:textId="77777777" w:rsidR="0055472F" w:rsidRPr="0055472F" w:rsidRDefault="0055472F" w:rsidP="00676552">
      <w:pPr>
        <w:spacing w:after="0" w:line="480" w:lineRule="auto"/>
        <w:rPr>
          <w:rFonts w:ascii="Times New Roman" w:hAnsi="Times New Roman" w:cs="Times New Roman"/>
          <w:b/>
          <w:bCs/>
        </w:rPr>
      </w:pPr>
    </w:p>
    <w:p w14:paraId="532CA0E7" w14:textId="7BF33CE7" w:rsidR="00676552" w:rsidRPr="0055472F" w:rsidRDefault="00676552" w:rsidP="00676552">
      <w:pPr>
        <w:spacing w:after="0" w:line="480" w:lineRule="auto"/>
        <w:rPr>
          <w:rFonts w:ascii="Times New Roman" w:hAnsi="Times New Roman" w:cs="Times New Roman"/>
        </w:rPr>
      </w:pPr>
      <w:r w:rsidRPr="0055472F">
        <w:rPr>
          <w:rFonts w:ascii="Times New Roman" w:hAnsi="Times New Roman" w:cs="Times New Roman"/>
          <w:b/>
          <w:bCs/>
        </w:rPr>
        <w:t>Results</w:t>
      </w:r>
    </w:p>
    <w:p w14:paraId="0DFAF181" w14:textId="5CCC0AA8" w:rsidR="00676552" w:rsidRDefault="00D208BD" w:rsidP="00676552">
      <w:pPr>
        <w:spacing w:after="0" w:line="480" w:lineRule="auto"/>
        <w:rPr>
          <w:rFonts w:ascii="Times New Roman" w:hAnsi="Times New Roman" w:cs="Times New Roman"/>
        </w:rPr>
      </w:pPr>
      <w:r>
        <w:rPr>
          <w:rFonts w:ascii="Times New Roman" w:hAnsi="Times New Roman" w:cs="Times New Roman"/>
        </w:rPr>
        <w:tab/>
      </w:r>
      <w:r w:rsidR="00925304" w:rsidRPr="00925304">
        <w:rPr>
          <w:rFonts w:ascii="Times New Roman" w:hAnsi="Times New Roman" w:cs="Times New Roman"/>
        </w:rPr>
        <w:t>Throughout the study period from 1999 to 2020, there were 56,806,341 death certificates recorded in the United States, and of these, 85,474 (0.2%) had osteomyelitis listed as a contributing factor. Furthermore, of those death certificates with osteomyelitis listed as a contributing factor, 35,192 (41.2%) had osteomyelitis as the underlying cause. Among all 85,474 death certificates with osteomyelitis listed as any contributing factor, 46,961 (54.9%) corresponded to a male individual and 69,154 (80.9%) to those who were White. The average age at death for the death certificates was 74.7 years.</w:t>
      </w:r>
      <w:r w:rsidR="00925304">
        <w:rPr>
          <w:rFonts w:ascii="Times New Roman" w:hAnsi="Times New Roman" w:cs="Times New Roman"/>
        </w:rPr>
        <w:t xml:space="preserve"> </w:t>
      </w:r>
    </w:p>
    <w:p w14:paraId="4102326A" w14:textId="51A8E64A" w:rsidR="00AE6CBF" w:rsidRDefault="00925304" w:rsidP="00676552">
      <w:pPr>
        <w:spacing w:after="0" w:line="480" w:lineRule="auto"/>
        <w:rPr>
          <w:rFonts w:ascii="Times New Roman" w:hAnsi="Times New Roman" w:cs="Times New Roman"/>
        </w:rPr>
      </w:pPr>
      <w:r>
        <w:rPr>
          <w:rFonts w:ascii="Times New Roman" w:hAnsi="Times New Roman" w:cs="Times New Roman"/>
        </w:rPr>
        <w:tab/>
      </w:r>
      <w:r w:rsidR="000F25EB">
        <w:rPr>
          <w:rFonts w:ascii="Times New Roman" w:hAnsi="Times New Roman" w:cs="Times New Roman"/>
        </w:rPr>
        <w:t xml:space="preserve">The </w:t>
      </w:r>
      <w:r w:rsidR="00C7285D">
        <w:rPr>
          <w:rFonts w:ascii="Times New Roman" w:hAnsi="Times New Roman" w:cs="Times New Roman"/>
        </w:rPr>
        <w:t xml:space="preserve">AAMR </w:t>
      </w:r>
      <w:r w:rsidR="00393529">
        <w:rPr>
          <w:rFonts w:ascii="Times New Roman" w:hAnsi="Times New Roman" w:cs="Times New Roman"/>
        </w:rPr>
        <w:t xml:space="preserve">for osteomyelitis </w:t>
      </w:r>
      <w:r w:rsidR="00DC1D1C">
        <w:rPr>
          <w:rFonts w:ascii="Times New Roman" w:hAnsi="Times New Roman" w:cs="Times New Roman"/>
        </w:rPr>
        <w:t>as a contributing cause of death</w:t>
      </w:r>
      <w:r w:rsidR="00393529">
        <w:rPr>
          <w:rFonts w:ascii="Times New Roman" w:hAnsi="Times New Roman" w:cs="Times New Roman"/>
        </w:rPr>
        <w:t xml:space="preserve"> rose from </w:t>
      </w:r>
      <w:r w:rsidR="004F3DFD">
        <w:rPr>
          <w:rFonts w:ascii="Times New Roman" w:hAnsi="Times New Roman" w:cs="Times New Roman"/>
        </w:rPr>
        <w:t>0.88 (95% Confidence Interval [95% CI]</w:t>
      </w:r>
      <w:r w:rsidR="004A0CD5">
        <w:rPr>
          <w:rFonts w:ascii="Times New Roman" w:hAnsi="Times New Roman" w:cs="Times New Roman"/>
        </w:rPr>
        <w:t xml:space="preserve">: 0.85 – 0.92) </w:t>
      </w:r>
      <w:r w:rsidR="003D6773">
        <w:rPr>
          <w:rFonts w:ascii="Times New Roman" w:hAnsi="Times New Roman" w:cs="Times New Roman"/>
        </w:rPr>
        <w:t xml:space="preserve">per 100,000 in 1999 </w:t>
      </w:r>
      <w:r w:rsidR="002A08C0">
        <w:rPr>
          <w:rFonts w:ascii="Times New Roman" w:hAnsi="Times New Roman" w:cs="Times New Roman"/>
        </w:rPr>
        <w:t xml:space="preserve">to </w:t>
      </w:r>
      <w:r w:rsidR="003D6773">
        <w:rPr>
          <w:rFonts w:ascii="Times New Roman" w:hAnsi="Times New Roman" w:cs="Times New Roman"/>
        </w:rPr>
        <w:t xml:space="preserve">1.81 </w:t>
      </w:r>
      <w:r w:rsidR="00A65090">
        <w:rPr>
          <w:rFonts w:ascii="Times New Roman" w:hAnsi="Times New Roman" w:cs="Times New Roman"/>
        </w:rPr>
        <w:t>(95% CI: 1.76 – 1.85) per 100,000 in 2020</w:t>
      </w:r>
      <w:r w:rsidR="00977B0C">
        <w:rPr>
          <w:rFonts w:ascii="Times New Roman" w:hAnsi="Times New Roman" w:cs="Times New Roman"/>
        </w:rPr>
        <w:t xml:space="preserve">, resulting in an </w:t>
      </w:r>
      <w:r w:rsidR="00B06DCB">
        <w:rPr>
          <w:rFonts w:ascii="Times New Roman" w:hAnsi="Times New Roman" w:cs="Times New Roman"/>
        </w:rPr>
        <w:t xml:space="preserve">APC of </w:t>
      </w:r>
      <w:r w:rsidR="00073766">
        <w:rPr>
          <w:rFonts w:ascii="Times New Roman" w:hAnsi="Times New Roman" w:cs="Times New Roman"/>
        </w:rPr>
        <w:t>2.57% (p &lt; 0.01)</w:t>
      </w:r>
      <w:r w:rsidR="00AC3C48">
        <w:rPr>
          <w:rFonts w:ascii="Times New Roman" w:hAnsi="Times New Roman" w:cs="Times New Roman"/>
        </w:rPr>
        <w:t xml:space="preserve"> (</w:t>
      </w:r>
      <w:r w:rsidR="00AC3C48">
        <w:rPr>
          <w:rFonts w:ascii="Times New Roman" w:hAnsi="Times New Roman" w:cs="Times New Roman"/>
          <w:b/>
          <w:bCs/>
        </w:rPr>
        <w:t>Figure 1</w:t>
      </w:r>
      <w:r w:rsidR="00AC3C48">
        <w:rPr>
          <w:rFonts w:ascii="Times New Roman" w:hAnsi="Times New Roman" w:cs="Times New Roman"/>
        </w:rPr>
        <w:t xml:space="preserve">). </w:t>
      </w:r>
      <w:r w:rsidR="00AE6CBF">
        <w:rPr>
          <w:rFonts w:ascii="Times New Roman" w:hAnsi="Times New Roman" w:cs="Times New Roman"/>
        </w:rPr>
        <w:t>Male and female persons showed differences in</w:t>
      </w:r>
      <w:r w:rsidR="009D6986">
        <w:rPr>
          <w:rFonts w:ascii="Times New Roman" w:hAnsi="Times New Roman" w:cs="Times New Roman"/>
        </w:rPr>
        <w:t xml:space="preserve"> how their </w:t>
      </w:r>
      <w:r w:rsidR="00932B52">
        <w:rPr>
          <w:rFonts w:ascii="Times New Roman" w:hAnsi="Times New Roman" w:cs="Times New Roman"/>
        </w:rPr>
        <w:t>AAMRs changed over the study period</w:t>
      </w:r>
      <w:r w:rsidR="008961B7">
        <w:rPr>
          <w:rFonts w:ascii="Times New Roman" w:hAnsi="Times New Roman" w:cs="Times New Roman"/>
        </w:rPr>
        <w:t xml:space="preserve"> (</w:t>
      </w:r>
      <w:r w:rsidR="008E1450">
        <w:rPr>
          <w:rFonts w:ascii="Times New Roman" w:hAnsi="Times New Roman" w:cs="Times New Roman"/>
          <w:b/>
          <w:bCs/>
        </w:rPr>
        <w:t>Figure 2</w:t>
      </w:r>
      <w:r w:rsidR="008E1450">
        <w:rPr>
          <w:rFonts w:ascii="Times New Roman" w:hAnsi="Times New Roman" w:cs="Times New Roman"/>
        </w:rPr>
        <w:t>).</w:t>
      </w:r>
      <w:r w:rsidR="000B6AB9">
        <w:rPr>
          <w:rFonts w:ascii="Times New Roman" w:hAnsi="Times New Roman" w:cs="Times New Roman"/>
        </w:rPr>
        <w:t xml:space="preserve"> </w:t>
      </w:r>
      <w:r w:rsidR="00813BF0">
        <w:rPr>
          <w:rFonts w:ascii="Times New Roman" w:hAnsi="Times New Roman" w:cs="Times New Roman"/>
        </w:rPr>
        <w:t xml:space="preserve">For male persons, </w:t>
      </w:r>
      <w:r w:rsidR="00AA1B71">
        <w:rPr>
          <w:rFonts w:ascii="Times New Roman" w:hAnsi="Times New Roman" w:cs="Times New Roman"/>
        </w:rPr>
        <w:t>AAMR</w:t>
      </w:r>
      <w:r w:rsidR="001B7F52">
        <w:rPr>
          <w:rFonts w:ascii="Times New Roman" w:hAnsi="Times New Roman" w:cs="Times New Roman"/>
        </w:rPr>
        <w:t xml:space="preserve">s rose from </w:t>
      </w:r>
      <w:r w:rsidR="00D71DFD">
        <w:rPr>
          <w:rFonts w:ascii="Times New Roman" w:hAnsi="Times New Roman" w:cs="Times New Roman"/>
        </w:rPr>
        <w:t xml:space="preserve">1.07 (95% CI: 1 – 1.13) </w:t>
      </w:r>
      <w:r w:rsidR="009C1E46">
        <w:rPr>
          <w:rFonts w:ascii="Times New Roman" w:hAnsi="Times New Roman" w:cs="Times New Roman"/>
        </w:rPr>
        <w:t xml:space="preserve">per 100,000 in 1999 to </w:t>
      </w:r>
      <w:r w:rsidR="008B41E2">
        <w:rPr>
          <w:rFonts w:ascii="Times New Roman" w:hAnsi="Times New Roman" w:cs="Times New Roman"/>
        </w:rPr>
        <w:t xml:space="preserve">2.47 (95% CI: </w:t>
      </w:r>
      <w:r w:rsidR="008A727D">
        <w:rPr>
          <w:rFonts w:ascii="Times New Roman" w:hAnsi="Times New Roman" w:cs="Times New Roman"/>
        </w:rPr>
        <w:t>2.39 – 2.54) per 100,000</w:t>
      </w:r>
      <w:r w:rsidR="008A1C92">
        <w:rPr>
          <w:rFonts w:ascii="Times New Roman" w:hAnsi="Times New Roman" w:cs="Times New Roman"/>
        </w:rPr>
        <w:t xml:space="preserve">, resulting in </w:t>
      </w:r>
      <w:r w:rsidR="00DC740D">
        <w:rPr>
          <w:rFonts w:ascii="Times New Roman" w:hAnsi="Times New Roman" w:cs="Times New Roman"/>
        </w:rPr>
        <w:t xml:space="preserve">an APC of </w:t>
      </w:r>
      <w:r w:rsidR="00B64DC7">
        <w:rPr>
          <w:rFonts w:ascii="Times New Roman" w:hAnsi="Times New Roman" w:cs="Times New Roman"/>
        </w:rPr>
        <w:t>3.1% (p &lt; 0.01).</w:t>
      </w:r>
      <w:r w:rsidR="00316DBB">
        <w:rPr>
          <w:rFonts w:ascii="Times New Roman" w:hAnsi="Times New Roman" w:cs="Times New Roman"/>
        </w:rPr>
        <w:t xml:space="preserve"> In female persons, </w:t>
      </w:r>
      <w:r w:rsidR="004B5A51">
        <w:rPr>
          <w:rFonts w:ascii="Times New Roman" w:hAnsi="Times New Roman" w:cs="Times New Roman"/>
        </w:rPr>
        <w:t xml:space="preserve">AAMRs rose from </w:t>
      </w:r>
      <w:r w:rsidR="00533EFF">
        <w:rPr>
          <w:rFonts w:ascii="Times New Roman" w:hAnsi="Times New Roman" w:cs="Times New Roman"/>
        </w:rPr>
        <w:t xml:space="preserve">0.77 (95% CI: 0.72 – 0.81) per 100,000 in 1999 to </w:t>
      </w:r>
      <w:r w:rsidR="00EA6329">
        <w:rPr>
          <w:rFonts w:ascii="Times New Roman" w:hAnsi="Times New Roman" w:cs="Times New Roman"/>
        </w:rPr>
        <w:t>1.27 (</w:t>
      </w:r>
      <w:r w:rsidR="000537CE">
        <w:rPr>
          <w:rFonts w:ascii="Times New Roman" w:hAnsi="Times New Roman" w:cs="Times New Roman"/>
        </w:rPr>
        <w:t xml:space="preserve">95% CI: </w:t>
      </w:r>
      <w:r w:rsidR="001B6DC0">
        <w:rPr>
          <w:rFonts w:ascii="Times New Roman" w:hAnsi="Times New Roman" w:cs="Times New Roman"/>
        </w:rPr>
        <w:t>1.22 – 1.32</w:t>
      </w:r>
      <w:r w:rsidR="00120961">
        <w:rPr>
          <w:rFonts w:ascii="Times New Roman" w:hAnsi="Times New Roman" w:cs="Times New Roman"/>
        </w:rPr>
        <w:t xml:space="preserve">), leading to an APC of </w:t>
      </w:r>
      <w:r w:rsidR="0035603E">
        <w:rPr>
          <w:rFonts w:ascii="Times New Roman" w:hAnsi="Times New Roman" w:cs="Times New Roman"/>
        </w:rPr>
        <w:t xml:space="preserve">1.47% (p &lt; 0.01). </w:t>
      </w:r>
      <w:r w:rsidR="00616648">
        <w:rPr>
          <w:rFonts w:ascii="Times New Roman" w:hAnsi="Times New Roman" w:cs="Times New Roman"/>
        </w:rPr>
        <w:t>Racial groups also showed differences in their trends in AAMR over the study period (</w:t>
      </w:r>
      <w:r w:rsidR="00616648">
        <w:rPr>
          <w:rFonts w:ascii="Times New Roman" w:hAnsi="Times New Roman" w:cs="Times New Roman"/>
          <w:b/>
          <w:bCs/>
        </w:rPr>
        <w:t>Figure 3</w:t>
      </w:r>
      <w:r w:rsidR="00616648">
        <w:rPr>
          <w:rFonts w:ascii="Times New Roman" w:hAnsi="Times New Roman" w:cs="Times New Roman"/>
        </w:rPr>
        <w:t xml:space="preserve">). </w:t>
      </w:r>
      <w:r w:rsidR="00296DB0">
        <w:rPr>
          <w:rFonts w:ascii="Times New Roman" w:hAnsi="Times New Roman" w:cs="Times New Roman"/>
        </w:rPr>
        <w:t xml:space="preserve">Native American </w:t>
      </w:r>
      <w:r w:rsidR="005F2061">
        <w:rPr>
          <w:rFonts w:ascii="Times New Roman" w:hAnsi="Times New Roman" w:cs="Times New Roman"/>
        </w:rPr>
        <w:t xml:space="preserve">persons </w:t>
      </w:r>
      <w:r w:rsidR="0076404A">
        <w:rPr>
          <w:rFonts w:ascii="Times New Roman" w:hAnsi="Times New Roman" w:cs="Times New Roman"/>
        </w:rPr>
        <w:t xml:space="preserve">showed </w:t>
      </w:r>
      <w:r w:rsidR="00116E72">
        <w:rPr>
          <w:rFonts w:ascii="Times New Roman" w:hAnsi="Times New Roman" w:cs="Times New Roman"/>
        </w:rPr>
        <w:t xml:space="preserve">the greatest increase in their AAMRs over the study period, from </w:t>
      </w:r>
      <w:r w:rsidR="00BE1393">
        <w:rPr>
          <w:rFonts w:ascii="Times New Roman" w:hAnsi="Times New Roman" w:cs="Times New Roman"/>
        </w:rPr>
        <w:t>1.62 (</w:t>
      </w:r>
      <w:r w:rsidR="00E34C4D">
        <w:rPr>
          <w:rFonts w:ascii="Times New Roman" w:hAnsi="Times New Roman" w:cs="Times New Roman"/>
        </w:rPr>
        <w:t xml:space="preserve">95% CI: </w:t>
      </w:r>
      <w:r w:rsidR="00CF65FF">
        <w:rPr>
          <w:rFonts w:ascii="Times New Roman" w:hAnsi="Times New Roman" w:cs="Times New Roman"/>
        </w:rPr>
        <w:t>1 – 2.47) per 100,000</w:t>
      </w:r>
      <w:r w:rsidR="00FD1A72">
        <w:rPr>
          <w:rFonts w:ascii="Times New Roman" w:hAnsi="Times New Roman" w:cs="Times New Roman"/>
        </w:rPr>
        <w:t xml:space="preserve"> </w:t>
      </w:r>
      <w:r w:rsidR="00C7371E">
        <w:rPr>
          <w:rFonts w:ascii="Times New Roman" w:hAnsi="Times New Roman" w:cs="Times New Roman"/>
        </w:rPr>
        <w:t xml:space="preserve">in </w:t>
      </w:r>
      <w:r w:rsidR="00F62880">
        <w:rPr>
          <w:rFonts w:ascii="Times New Roman" w:hAnsi="Times New Roman" w:cs="Times New Roman"/>
        </w:rPr>
        <w:t xml:space="preserve">2003, when </w:t>
      </w:r>
      <w:r w:rsidR="00582A1D">
        <w:rPr>
          <w:rFonts w:ascii="Times New Roman" w:hAnsi="Times New Roman" w:cs="Times New Roman"/>
        </w:rPr>
        <w:t>estimates were first reliable</w:t>
      </w:r>
      <w:r w:rsidR="00F52261">
        <w:rPr>
          <w:rFonts w:ascii="Times New Roman" w:hAnsi="Times New Roman" w:cs="Times New Roman"/>
        </w:rPr>
        <w:t xml:space="preserve">, to </w:t>
      </w:r>
      <w:r w:rsidR="00D04AF8">
        <w:rPr>
          <w:rFonts w:ascii="Times New Roman" w:hAnsi="Times New Roman" w:cs="Times New Roman"/>
        </w:rPr>
        <w:t xml:space="preserve">2.53 </w:t>
      </w:r>
      <w:r w:rsidR="00452FE1">
        <w:rPr>
          <w:rFonts w:ascii="Times New Roman" w:hAnsi="Times New Roman" w:cs="Times New Roman"/>
        </w:rPr>
        <w:t xml:space="preserve">(95% CI: </w:t>
      </w:r>
      <w:r w:rsidR="00517531">
        <w:rPr>
          <w:rFonts w:ascii="Times New Roman" w:hAnsi="Times New Roman" w:cs="Times New Roman"/>
        </w:rPr>
        <w:t xml:space="preserve">2.02 – 3.05) per 100,000 in </w:t>
      </w:r>
      <w:r w:rsidR="00221002">
        <w:rPr>
          <w:rFonts w:ascii="Times New Roman" w:hAnsi="Times New Roman" w:cs="Times New Roman"/>
        </w:rPr>
        <w:t>2020</w:t>
      </w:r>
      <w:r w:rsidR="00C7592E">
        <w:rPr>
          <w:rFonts w:ascii="Times New Roman" w:hAnsi="Times New Roman" w:cs="Times New Roman"/>
        </w:rPr>
        <w:t xml:space="preserve">, </w:t>
      </w:r>
      <w:r w:rsidR="0071171A">
        <w:rPr>
          <w:rFonts w:ascii="Times New Roman" w:hAnsi="Times New Roman" w:cs="Times New Roman"/>
        </w:rPr>
        <w:t xml:space="preserve">resulting in an APC of </w:t>
      </w:r>
      <w:r w:rsidR="0027192C">
        <w:rPr>
          <w:rFonts w:ascii="Times New Roman" w:hAnsi="Times New Roman" w:cs="Times New Roman"/>
        </w:rPr>
        <w:t>3.26%.</w:t>
      </w:r>
      <w:r w:rsidR="0064402F">
        <w:rPr>
          <w:rFonts w:ascii="Times New Roman" w:hAnsi="Times New Roman" w:cs="Times New Roman"/>
        </w:rPr>
        <w:t xml:space="preserve"> They were followed by White persons with an APC of </w:t>
      </w:r>
      <w:r w:rsidR="00BE33DB">
        <w:rPr>
          <w:rFonts w:ascii="Times New Roman" w:hAnsi="Times New Roman" w:cs="Times New Roman"/>
        </w:rPr>
        <w:t>2.58% (</w:t>
      </w:r>
      <w:r w:rsidR="004006CA">
        <w:rPr>
          <w:rFonts w:ascii="Times New Roman" w:hAnsi="Times New Roman" w:cs="Times New Roman"/>
        </w:rPr>
        <w:t xml:space="preserve">0.81 [95% CI: 0.77 – 0.84] per 100,000 in </w:t>
      </w:r>
      <w:r w:rsidR="002A4DEF">
        <w:rPr>
          <w:rFonts w:ascii="Times New Roman" w:hAnsi="Times New Roman" w:cs="Times New Roman"/>
        </w:rPr>
        <w:t xml:space="preserve">1999 to </w:t>
      </w:r>
      <w:r w:rsidR="00CE3AD9">
        <w:rPr>
          <w:rFonts w:ascii="Times New Roman" w:hAnsi="Times New Roman" w:cs="Times New Roman"/>
        </w:rPr>
        <w:t>1.69</w:t>
      </w:r>
      <w:r w:rsidR="00B95B6C">
        <w:rPr>
          <w:rFonts w:ascii="Times New Roman" w:hAnsi="Times New Roman" w:cs="Times New Roman"/>
        </w:rPr>
        <w:t xml:space="preserve"> [95% CI: </w:t>
      </w:r>
      <w:r w:rsidR="008E245E">
        <w:rPr>
          <w:rFonts w:ascii="Times New Roman" w:hAnsi="Times New Roman" w:cs="Times New Roman"/>
        </w:rPr>
        <w:t>1.65 – 1.73] per 100,000 in 2020</w:t>
      </w:r>
      <w:r w:rsidR="00914A1C">
        <w:rPr>
          <w:rFonts w:ascii="Times New Roman" w:hAnsi="Times New Roman" w:cs="Times New Roman"/>
        </w:rPr>
        <w:t xml:space="preserve">; </w:t>
      </w:r>
      <w:r w:rsidR="00E9190B">
        <w:rPr>
          <w:rFonts w:ascii="Times New Roman" w:hAnsi="Times New Roman" w:cs="Times New Roman"/>
        </w:rPr>
        <w:t>p &lt; 0.01</w:t>
      </w:r>
      <w:r w:rsidR="007F7092">
        <w:rPr>
          <w:rFonts w:ascii="Times New Roman" w:hAnsi="Times New Roman" w:cs="Times New Roman"/>
        </w:rPr>
        <w:t>)</w:t>
      </w:r>
      <w:r w:rsidR="00392FC4">
        <w:rPr>
          <w:rFonts w:ascii="Times New Roman" w:hAnsi="Times New Roman" w:cs="Times New Roman"/>
        </w:rPr>
        <w:t xml:space="preserve">, </w:t>
      </w:r>
      <w:r w:rsidR="00E9190B">
        <w:rPr>
          <w:rFonts w:ascii="Times New Roman" w:hAnsi="Times New Roman" w:cs="Times New Roman"/>
        </w:rPr>
        <w:t xml:space="preserve">and Black persons </w:t>
      </w:r>
      <w:r w:rsidR="009729D3">
        <w:rPr>
          <w:rFonts w:ascii="Times New Roman" w:hAnsi="Times New Roman" w:cs="Times New Roman"/>
        </w:rPr>
        <w:t xml:space="preserve">with an APC of </w:t>
      </w:r>
      <w:r w:rsidR="006A6631">
        <w:rPr>
          <w:rFonts w:ascii="Times New Roman" w:hAnsi="Times New Roman" w:cs="Times New Roman"/>
        </w:rPr>
        <w:t xml:space="preserve">1.35% </w:t>
      </w:r>
      <w:r w:rsidR="00071B24">
        <w:rPr>
          <w:rFonts w:ascii="Times New Roman" w:hAnsi="Times New Roman" w:cs="Times New Roman"/>
        </w:rPr>
        <w:t>(</w:t>
      </w:r>
      <w:r w:rsidR="00850FED">
        <w:rPr>
          <w:rFonts w:ascii="Times New Roman" w:hAnsi="Times New Roman" w:cs="Times New Roman"/>
        </w:rPr>
        <w:t>1.77 [</w:t>
      </w:r>
      <w:r w:rsidR="00461666">
        <w:rPr>
          <w:rFonts w:ascii="Times New Roman" w:hAnsi="Times New Roman" w:cs="Times New Roman"/>
        </w:rPr>
        <w:t xml:space="preserve">95% CI: </w:t>
      </w:r>
      <w:r w:rsidR="00352F7E">
        <w:rPr>
          <w:rFonts w:ascii="Times New Roman" w:hAnsi="Times New Roman" w:cs="Times New Roman"/>
        </w:rPr>
        <w:t xml:space="preserve">1.6 – 1.95] per 100,000 in 1999 to </w:t>
      </w:r>
      <w:r w:rsidR="00A61BBC">
        <w:rPr>
          <w:rFonts w:ascii="Times New Roman" w:hAnsi="Times New Roman" w:cs="Times New Roman"/>
        </w:rPr>
        <w:t xml:space="preserve">3.15 </w:t>
      </w:r>
      <w:r w:rsidR="00A61BBC">
        <w:rPr>
          <w:rFonts w:ascii="Times New Roman" w:hAnsi="Times New Roman" w:cs="Times New Roman"/>
        </w:rPr>
        <w:lastRenderedPageBreak/>
        <w:t>[</w:t>
      </w:r>
      <w:r w:rsidR="00F32160">
        <w:rPr>
          <w:rFonts w:ascii="Times New Roman" w:hAnsi="Times New Roman" w:cs="Times New Roman"/>
        </w:rPr>
        <w:t xml:space="preserve">95% CI: </w:t>
      </w:r>
      <w:r w:rsidR="000278ED">
        <w:rPr>
          <w:rFonts w:ascii="Times New Roman" w:hAnsi="Times New Roman" w:cs="Times New Roman"/>
        </w:rPr>
        <w:t xml:space="preserve">2.98 – 3.33] per 100,000 in 2020; p &lt; 0.01). </w:t>
      </w:r>
      <w:r w:rsidR="00640E0A">
        <w:rPr>
          <w:rFonts w:ascii="Times New Roman" w:hAnsi="Times New Roman" w:cs="Times New Roman"/>
        </w:rPr>
        <w:t xml:space="preserve">Asian persons demonstrated no significant change in their mortality rates over the study period. </w:t>
      </w:r>
    </w:p>
    <w:p w14:paraId="031F4B71" w14:textId="1F0FB793" w:rsidR="00D03BBB" w:rsidRPr="00616648" w:rsidRDefault="00F06E08" w:rsidP="00676552">
      <w:pPr>
        <w:spacing w:after="0" w:line="480" w:lineRule="auto"/>
        <w:rPr>
          <w:rFonts w:ascii="Times New Roman" w:hAnsi="Times New Roman" w:cs="Times New Roman"/>
        </w:rPr>
      </w:pPr>
      <w:r>
        <w:rPr>
          <w:rFonts w:ascii="Times New Roman" w:hAnsi="Times New Roman" w:cs="Times New Roman"/>
        </w:rPr>
        <w:tab/>
      </w:r>
      <w:r w:rsidR="00060D50">
        <w:rPr>
          <w:rFonts w:ascii="Times New Roman" w:eastAsia="Times New Roman" w:hAnsi="Times New Roman" w:cs="Times New Roman"/>
        </w:rPr>
        <w:t>Overall, male persons demonstrated significantly higher AAMRs than female persons (1.52 per 100,000 vs. 0.88 per 100,000) and Black persons had significantly higher AAMRs (2.08 per 100,000) than Native American (1.61 per 100,000), White (1.09 per 100,000), and Asian persons (0.46 per 100,000) (</w:t>
      </w:r>
      <w:r w:rsidR="00060D50" w:rsidRPr="00BE1416">
        <w:rPr>
          <w:rFonts w:ascii="Times New Roman" w:eastAsia="Times New Roman" w:hAnsi="Times New Roman" w:cs="Times New Roman"/>
          <w:b/>
          <w:bCs/>
        </w:rPr>
        <w:t>Figure 4</w:t>
      </w:r>
      <w:r w:rsidR="00060D50">
        <w:rPr>
          <w:rFonts w:ascii="Times New Roman" w:eastAsia="Times New Roman" w:hAnsi="Times New Roman" w:cs="Times New Roman"/>
        </w:rPr>
        <w:t xml:space="preserve">). </w:t>
      </w:r>
    </w:p>
    <w:p w14:paraId="581011EB" w14:textId="77777777" w:rsidR="00AE6CBF" w:rsidRDefault="00AE6CBF" w:rsidP="00676552">
      <w:pPr>
        <w:spacing w:after="0" w:line="480" w:lineRule="auto"/>
        <w:rPr>
          <w:rFonts w:ascii="Times New Roman" w:hAnsi="Times New Roman" w:cs="Times New Roman"/>
        </w:rPr>
      </w:pPr>
    </w:p>
    <w:p w14:paraId="49A1DCF9" w14:textId="51500AE9" w:rsidR="00676552" w:rsidRDefault="00676552" w:rsidP="00676552">
      <w:pPr>
        <w:spacing w:after="0" w:line="480" w:lineRule="auto"/>
        <w:rPr>
          <w:rFonts w:ascii="Times New Roman" w:hAnsi="Times New Roman" w:cs="Times New Roman"/>
          <w:b/>
          <w:bCs/>
        </w:rPr>
      </w:pPr>
      <w:r w:rsidRPr="0055472F">
        <w:rPr>
          <w:rFonts w:ascii="Times New Roman" w:hAnsi="Times New Roman" w:cs="Times New Roman"/>
          <w:b/>
          <w:bCs/>
        </w:rPr>
        <w:t>Discussion</w:t>
      </w:r>
    </w:p>
    <w:p w14:paraId="1A1FD1BC" w14:textId="51BDC61A" w:rsidR="00AA2FF5" w:rsidRDefault="00AA2FF5">
      <w:pPr>
        <w:rPr>
          <w:rFonts w:ascii="Times New Roman" w:hAnsi="Times New Roman" w:cs="Times New Roman"/>
        </w:rPr>
      </w:pPr>
      <w:r>
        <w:rPr>
          <w:rFonts w:ascii="Times New Roman" w:hAnsi="Times New Roman" w:cs="Times New Roman"/>
        </w:rPr>
        <w:br w:type="page"/>
      </w:r>
    </w:p>
    <w:p w14:paraId="7865C51C" w14:textId="5103E5A7" w:rsidR="00AA2FF5" w:rsidRDefault="00AA2FF5" w:rsidP="00676552">
      <w:pPr>
        <w:spacing w:after="0" w:line="480" w:lineRule="auto"/>
        <w:rPr>
          <w:rFonts w:ascii="Times New Roman" w:hAnsi="Times New Roman" w:cs="Times New Roman"/>
        </w:rPr>
      </w:pPr>
      <w:r>
        <w:rPr>
          <w:rFonts w:ascii="Times New Roman" w:hAnsi="Times New Roman" w:cs="Times New Roman"/>
          <w:b/>
          <w:bCs/>
        </w:rPr>
        <w:lastRenderedPageBreak/>
        <w:t>References</w:t>
      </w:r>
    </w:p>
    <w:p w14:paraId="31476B71" w14:textId="77777777" w:rsidR="00776D4D" w:rsidRPr="00776D4D" w:rsidRDefault="00724F3D" w:rsidP="00776D4D">
      <w:pPr>
        <w:pStyle w:val="Bibliography"/>
        <w:rPr>
          <w:rFonts w:ascii="Times New Roman" w:hAnsi="Times New Roman" w:cs="Times New Roman"/>
        </w:rPr>
      </w:pPr>
      <w:r>
        <w:fldChar w:fldCharType="begin"/>
      </w:r>
      <w:r>
        <w:instrText xml:space="preserve"> ADDIN ZOTERO_BIBL {"uncited":[],"omitted":[],"custom":[]} CSL_BIBLIOGRAPHY </w:instrText>
      </w:r>
      <w:r>
        <w:fldChar w:fldCharType="separate"/>
      </w:r>
      <w:r w:rsidR="00776D4D" w:rsidRPr="00776D4D">
        <w:rPr>
          <w:rFonts w:ascii="Times New Roman" w:hAnsi="Times New Roman" w:cs="Times New Roman"/>
        </w:rPr>
        <w:t>1.</w:t>
      </w:r>
      <w:r w:rsidR="00776D4D" w:rsidRPr="00776D4D">
        <w:rPr>
          <w:rFonts w:ascii="Times New Roman" w:hAnsi="Times New Roman" w:cs="Times New Roman"/>
        </w:rPr>
        <w:tab/>
        <w:t xml:space="preserve">Hofstee MI, Muthukrishnan G, Atkins GJ, et al. Current Concepts of Osteomyelitis: From Pathologic Mechanisms to Advanced Research Methods. </w:t>
      </w:r>
      <w:r w:rsidR="00776D4D" w:rsidRPr="00776D4D">
        <w:rPr>
          <w:rFonts w:ascii="Times New Roman" w:hAnsi="Times New Roman" w:cs="Times New Roman"/>
          <w:i/>
          <w:iCs/>
        </w:rPr>
        <w:t>The American Journal of Pathology</w:t>
      </w:r>
      <w:r w:rsidR="00776D4D" w:rsidRPr="00776D4D">
        <w:rPr>
          <w:rFonts w:ascii="Times New Roman" w:hAnsi="Times New Roman" w:cs="Times New Roman"/>
        </w:rPr>
        <w:t xml:space="preserve">. 2020;190(6):1151-1163. </w:t>
      </w:r>
      <w:proofErr w:type="gramStart"/>
      <w:r w:rsidR="00776D4D" w:rsidRPr="00776D4D">
        <w:rPr>
          <w:rFonts w:ascii="Times New Roman" w:hAnsi="Times New Roman" w:cs="Times New Roman"/>
        </w:rPr>
        <w:t>doi:10.1016/j.ajpath</w:t>
      </w:r>
      <w:proofErr w:type="gramEnd"/>
      <w:r w:rsidR="00776D4D" w:rsidRPr="00776D4D">
        <w:rPr>
          <w:rFonts w:ascii="Times New Roman" w:hAnsi="Times New Roman" w:cs="Times New Roman"/>
        </w:rPr>
        <w:t>.2020.02.007</w:t>
      </w:r>
    </w:p>
    <w:p w14:paraId="1BF18EA4" w14:textId="77777777" w:rsidR="00776D4D" w:rsidRPr="00776D4D" w:rsidRDefault="00776D4D" w:rsidP="00776D4D">
      <w:pPr>
        <w:pStyle w:val="Bibliography"/>
        <w:rPr>
          <w:rFonts w:ascii="Times New Roman" w:hAnsi="Times New Roman" w:cs="Times New Roman"/>
        </w:rPr>
      </w:pPr>
      <w:r w:rsidRPr="00776D4D">
        <w:rPr>
          <w:rFonts w:ascii="Times New Roman" w:hAnsi="Times New Roman" w:cs="Times New Roman"/>
        </w:rPr>
        <w:t>2.</w:t>
      </w:r>
      <w:r w:rsidRPr="00776D4D">
        <w:rPr>
          <w:rFonts w:ascii="Times New Roman" w:hAnsi="Times New Roman" w:cs="Times New Roman"/>
        </w:rPr>
        <w:tab/>
        <w:t xml:space="preserve">Bury DC, Rogers TS, Dickman MM. Osteomyelitis: Diagnosis and Treatment. </w:t>
      </w:r>
      <w:r w:rsidRPr="00776D4D">
        <w:rPr>
          <w:rFonts w:ascii="Times New Roman" w:hAnsi="Times New Roman" w:cs="Times New Roman"/>
          <w:i/>
          <w:iCs/>
        </w:rPr>
        <w:t>Am Fam Physician</w:t>
      </w:r>
      <w:r w:rsidRPr="00776D4D">
        <w:rPr>
          <w:rFonts w:ascii="Times New Roman" w:hAnsi="Times New Roman" w:cs="Times New Roman"/>
        </w:rPr>
        <w:t>. 2021;104(4):395-402.</w:t>
      </w:r>
    </w:p>
    <w:p w14:paraId="1CF9F316" w14:textId="77777777" w:rsidR="00776D4D" w:rsidRPr="00776D4D" w:rsidRDefault="00776D4D" w:rsidP="00776D4D">
      <w:pPr>
        <w:pStyle w:val="Bibliography"/>
        <w:rPr>
          <w:rFonts w:ascii="Times New Roman" w:hAnsi="Times New Roman" w:cs="Times New Roman"/>
        </w:rPr>
      </w:pPr>
      <w:r w:rsidRPr="00776D4D">
        <w:rPr>
          <w:rFonts w:ascii="Times New Roman" w:hAnsi="Times New Roman" w:cs="Times New Roman"/>
        </w:rPr>
        <w:t>3.</w:t>
      </w:r>
      <w:r w:rsidRPr="00776D4D">
        <w:rPr>
          <w:rFonts w:ascii="Times New Roman" w:hAnsi="Times New Roman" w:cs="Times New Roman"/>
        </w:rPr>
        <w:tab/>
        <w:t xml:space="preserve">Masters EA, Trombetta RP, de </w:t>
      </w:r>
      <w:proofErr w:type="spellStart"/>
      <w:r w:rsidRPr="00776D4D">
        <w:rPr>
          <w:rFonts w:ascii="Times New Roman" w:hAnsi="Times New Roman" w:cs="Times New Roman"/>
        </w:rPr>
        <w:t>Mesy</w:t>
      </w:r>
      <w:proofErr w:type="spellEnd"/>
      <w:r w:rsidRPr="00776D4D">
        <w:rPr>
          <w:rFonts w:ascii="Times New Roman" w:hAnsi="Times New Roman" w:cs="Times New Roman"/>
        </w:rPr>
        <w:t xml:space="preserve"> Bentley KL, et al. Evolving concepts in bone infection: redefining “biofilm”, “acute vs. chronic osteomyelitis”, “the immune proteome” and “local antibiotic therapy.” </w:t>
      </w:r>
      <w:r w:rsidRPr="00776D4D">
        <w:rPr>
          <w:rFonts w:ascii="Times New Roman" w:hAnsi="Times New Roman" w:cs="Times New Roman"/>
          <w:i/>
          <w:iCs/>
        </w:rPr>
        <w:t>Bone Res</w:t>
      </w:r>
      <w:r w:rsidRPr="00776D4D">
        <w:rPr>
          <w:rFonts w:ascii="Times New Roman" w:hAnsi="Times New Roman" w:cs="Times New Roman"/>
        </w:rPr>
        <w:t xml:space="preserve">. </w:t>
      </w:r>
      <w:proofErr w:type="gramStart"/>
      <w:r w:rsidRPr="00776D4D">
        <w:rPr>
          <w:rFonts w:ascii="Times New Roman" w:hAnsi="Times New Roman" w:cs="Times New Roman"/>
        </w:rPr>
        <w:t>2019;7:20</w:t>
      </w:r>
      <w:proofErr w:type="gramEnd"/>
      <w:r w:rsidRPr="00776D4D">
        <w:rPr>
          <w:rFonts w:ascii="Times New Roman" w:hAnsi="Times New Roman" w:cs="Times New Roman"/>
        </w:rPr>
        <w:t>. doi:10.1038/s41413-019-0061-z</w:t>
      </w:r>
    </w:p>
    <w:p w14:paraId="3BEF4DBD" w14:textId="77777777" w:rsidR="00776D4D" w:rsidRPr="00776D4D" w:rsidRDefault="00776D4D" w:rsidP="00776D4D">
      <w:pPr>
        <w:pStyle w:val="Bibliography"/>
        <w:rPr>
          <w:rFonts w:ascii="Times New Roman" w:hAnsi="Times New Roman" w:cs="Times New Roman"/>
        </w:rPr>
      </w:pPr>
      <w:r w:rsidRPr="00776D4D">
        <w:rPr>
          <w:rFonts w:ascii="Times New Roman" w:hAnsi="Times New Roman" w:cs="Times New Roman"/>
        </w:rPr>
        <w:t>4.</w:t>
      </w:r>
      <w:r w:rsidRPr="00776D4D">
        <w:rPr>
          <w:rFonts w:ascii="Times New Roman" w:hAnsi="Times New Roman" w:cs="Times New Roman"/>
        </w:rPr>
        <w:tab/>
        <w:t xml:space="preserve">Johnson MJ, Shumway N, Bivins M, </w:t>
      </w:r>
      <w:proofErr w:type="spellStart"/>
      <w:r w:rsidRPr="00776D4D">
        <w:rPr>
          <w:rFonts w:ascii="Times New Roman" w:hAnsi="Times New Roman" w:cs="Times New Roman"/>
        </w:rPr>
        <w:t>Bessesen</w:t>
      </w:r>
      <w:proofErr w:type="spellEnd"/>
      <w:r w:rsidRPr="00776D4D">
        <w:rPr>
          <w:rFonts w:ascii="Times New Roman" w:hAnsi="Times New Roman" w:cs="Times New Roman"/>
        </w:rPr>
        <w:t xml:space="preserve"> MT. Outcomes of Limb-Sparing Surgery for Osteomyelitis in the Diabetic Foot: Importance of the Histopathologic Margin. </w:t>
      </w:r>
      <w:r w:rsidRPr="00776D4D">
        <w:rPr>
          <w:rFonts w:ascii="Times New Roman" w:hAnsi="Times New Roman" w:cs="Times New Roman"/>
          <w:i/>
          <w:iCs/>
        </w:rPr>
        <w:t>Open Forum Infect Dis</w:t>
      </w:r>
      <w:r w:rsidRPr="00776D4D">
        <w:rPr>
          <w:rFonts w:ascii="Times New Roman" w:hAnsi="Times New Roman" w:cs="Times New Roman"/>
        </w:rPr>
        <w:t>. 2019;6(10</w:t>
      </w:r>
      <w:proofErr w:type="gramStart"/>
      <w:r w:rsidRPr="00776D4D">
        <w:rPr>
          <w:rFonts w:ascii="Times New Roman" w:hAnsi="Times New Roman" w:cs="Times New Roman"/>
        </w:rPr>
        <w:t>):ofz</w:t>
      </w:r>
      <w:proofErr w:type="gramEnd"/>
      <w:r w:rsidRPr="00776D4D">
        <w:rPr>
          <w:rFonts w:ascii="Times New Roman" w:hAnsi="Times New Roman" w:cs="Times New Roman"/>
        </w:rPr>
        <w:t>382. doi:10.1093/</w:t>
      </w:r>
      <w:proofErr w:type="spellStart"/>
      <w:r w:rsidRPr="00776D4D">
        <w:rPr>
          <w:rFonts w:ascii="Times New Roman" w:hAnsi="Times New Roman" w:cs="Times New Roman"/>
        </w:rPr>
        <w:t>ofid</w:t>
      </w:r>
      <w:proofErr w:type="spellEnd"/>
      <w:r w:rsidRPr="00776D4D">
        <w:rPr>
          <w:rFonts w:ascii="Times New Roman" w:hAnsi="Times New Roman" w:cs="Times New Roman"/>
        </w:rPr>
        <w:t>/ofz382</w:t>
      </w:r>
    </w:p>
    <w:p w14:paraId="66860EB8" w14:textId="77777777" w:rsidR="00776D4D" w:rsidRPr="00776D4D" w:rsidRDefault="00776D4D" w:rsidP="00776D4D">
      <w:pPr>
        <w:pStyle w:val="Bibliography"/>
        <w:rPr>
          <w:rFonts w:ascii="Times New Roman" w:hAnsi="Times New Roman" w:cs="Times New Roman"/>
        </w:rPr>
      </w:pPr>
      <w:r w:rsidRPr="00776D4D">
        <w:rPr>
          <w:rFonts w:ascii="Times New Roman" w:hAnsi="Times New Roman" w:cs="Times New Roman"/>
        </w:rPr>
        <w:t>5.</w:t>
      </w:r>
      <w:r w:rsidRPr="00776D4D">
        <w:rPr>
          <w:rFonts w:ascii="Times New Roman" w:hAnsi="Times New Roman" w:cs="Times New Roman"/>
        </w:rPr>
        <w:tab/>
        <w:t xml:space="preserve">Norris BL, Vanderkarr M, Sparks C, Chitnis AS, Ray B, Holy CE. Treatments, cost and healthcare utilization of patients with segmental bone defects. </w:t>
      </w:r>
      <w:r w:rsidRPr="00776D4D">
        <w:rPr>
          <w:rFonts w:ascii="Times New Roman" w:hAnsi="Times New Roman" w:cs="Times New Roman"/>
          <w:i/>
          <w:iCs/>
        </w:rPr>
        <w:t>Injury</w:t>
      </w:r>
      <w:r w:rsidRPr="00776D4D">
        <w:rPr>
          <w:rFonts w:ascii="Times New Roman" w:hAnsi="Times New Roman" w:cs="Times New Roman"/>
        </w:rPr>
        <w:t xml:space="preserve">. 2021;52(10):2935-2940. </w:t>
      </w:r>
      <w:proofErr w:type="gramStart"/>
      <w:r w:rsidRPr="00776D4D">
        <w:rPr>
          <w:rFonts w:ascii="Times New Roman" w:hAnsi="Times New Roman" w:cs="Times New Roman"/>
        </w:rPr>
        <w:t>doi:10.1016/j.injury</w:t>
      </w:r>
      <w:proofErr w:type="gramEnd"/>
      <w:r w:rsidRPr="00776D4D">
        <w:rPr>
          <w:rFonts w:ascii="Times New Roman" w:hAnsi="Times New Roman" w:cs="Times New Roman"/>
        </w:rPr>
        <w:t>.2021.01.016</w:t>
      </w:r>
    </w:p>
    <w:p w14:paraId="3FEF987D" w14:textId="77777777" w:rsidR="00776D4D" w:rsidRPr="00776D4D" w:rsidRDefault="00776D4D" w:rsidP="00776D4D">
      <w:pPr>
        <w:pStyle w:val="Bibliography"/>
        <w:rPr>
          <w:rFonts w:ascii="Times New Roman" w:hAnsi="Times New Roman" w:cs="Times New Roman"/>
        </w:rPr>
      </w:pPr>
      <w:r w:rsidRPr="00776D4D">
        <w:rPr>
          <w:rFonts w:ascii="Times New Roman" w:hAnsi="Times New Roman" w:cs="Times New Roman"/>
        </w:rPr>
        <w:t>6.</w:t>
      </w:r>
      <w:r w:rsidRPr="00776D4D">
        <w:rPr>
          <w:rFonts w:ascii="Times New Roman" w:hAnsi="Times New Roman" w:cs="Times New Roman"/>
        </w:rPr>
        <w:tab/>
        <w:t xml:space="preserve">Huang JF, Wu QN, Zheng XQ, et al. The Characteristics and Mortality of Osteoporosis, Osteomyelitis, or Rheumatoid Arthritis in the Diabetes Population: A Retrospective Study. </w:t>
      </w:r>
      <w:r w:rsidRPr="00776D4D">
        <w:rPr>
          <w:rFonts w:ascii="Times New Roman" w:hAnsi="Times New Roman" w:cs="Times New Roman"/>
          <w:i/>
          <w:iCs/>
        </w:rPr>
        <w:t>International Journal of Endocrinology</w:t>
      </w:r>
      <w:r w:rsidRPr="00776D4D">
        <w:rPr>
          <w:rFonts w:ascii="Times New Roman" w:hAnsi="Times New Roman" w:cs="Times New Roman"/>
        </w:rPr>
        <w:t>. 2020;2020(1):8821978. doi:10.1155/2020/8821978</w:t>
      </w:r>
    </w:p>
    <w:p w14:paraId="65B9BF9C" w14:textId="77777777" w:rsidR="00776D4D" w:rsidRPr="00776D4D" w:rsidRDefault="00776D4D" w:rsidP="00776D4D">
      <w:pPr>
        <w:pStyle w:val="Bibliography"/>
        <w:rPr>
          <w:rFonts w:ascii="Times New Roman" w:hAnsi="Times New Roman" w:cs="Times New Roman"/>
        </w:rPr>
      </w:pPr>
      <w:r w:rsidRPr="00776D4D">
        <w:rPr>
          <w:rFonts w:ascii="Times New Roman" w:hAnsi="Times New Roman" w:cs="Times New Roman"/>
        </w:rPr>
        <w:t>7.</w:t>
      </w:r>
      <w:r w:rsidRPr="00776D4D">
        <w:rPr>
          <w:rFonts w:ascii="Times New Roman" w:hAnsi="Times New Roman" w:cs="Times New Roman"/>
        </w:rPr>
        <w:tab/>
        <w:t xml:space="preserve">Huang CC, Tsai KT, Weng SF, et al. Chronic osteomyelitis increases long-term mortality risk in the elderly: a nationwide population-based cohort study. </w:t>
      </w:r>
      <w:r w:rsidRPr="00776D4D">
        <w:rPr>
          <w:rFonts w:ascii="Times New Roman" w:hAnsi="Times New Roman" w:cs="Times New Roman"/>
          <w:i/>
          <w:iCs/>
        </w:rPr>
        <w:t>BMC Geriatrics</w:t>
      </w:r>
      <w:r w:rsidRPr="00776D4D">
        <w:rPr>
          <w:rFonts w:ascii="Times New Roman" w:hAnsi="Times New Roman" w:cs="Times New Roman"/>
        </w:rPr>
        <w:t>. 2016;16(1):72. doi:10.1186/s12877-016-0248-8</w:t>
      </w:r>
    </w:p>
    <w:p w14:paraId="21F8B976" w14:textId="77777777" w:rsidR="00776D4D" w:rsidRPr="00776D4D" w:rsidRDefault="00776D4D" w:rsidP="00776D4D">
      <w:pPr>
        <w:pStyle w:val="Bibliography"/>
        <w:rPr>
          <w:rFonts w:ascii="Times New Roman" w:hAnsi="Times New Roman" w:cs="Times New Roman"/>
        </w:rPr>
      </w:pPr>
      <w:r w:rsidRPr="00776D4D">
        <w:rPr>
          <w:rFonts w:ascii="Times New Roman" w:hAnsi="Times New Roman" w:cs="Times New Roman"/>
        </w:rPr>
        <w:t>8.</w:t>
      </w:r>
      <w:r w:rsidRPr="00776D4D">
        <w:rPr>
          <w:rFonts w:ascii="Times New Roman" w:hAnsi="Times New Roman" w:cs="Times New Roman"/>
        </w:rPr>
        <w:tab/>
        <w:t>Osteomyelitis | Bone Infection Symptoms, Causes, Treatment. Accessed May 15, 2025. https://rarediseases.org/rare-diseases/osteomyelitis/</w:t>
      </w:r>
    </w:p>
    <w:p w14:paraId="5DEFAC06" w14:textId="77777777" w:rsidR="00776D4D" w:rsidRPr="00776D4D" w:rsidRDefault="00776D4D" w:rsidP="00776D4D">
      <w:pPr>
        <w:pStyle w:val="Bibliography"/>
        <w:rPr>
          <w:rFonts w:ascii="Times New Roman" w:hAnsi="Times New Roman" w:cs="Times New Roman"/>
        </w:rPr>
      </w:pPr>
      <w:r w:rsidRPr="00776D4D">
        <w:rPr>
          <w:rFonts w:ascii="Times New Roman" w:hAnsi="Times New Roman" w:cs="Times New Roman"/>
        </w:rPr>
        <w:t>9.</w:t>
      </w:r>
      <w:r w:rsidRPr="00776D4D">
        <w:rPr>
          <w:rFonts w:ascii="Times New Roman" w:hAnsi="Times New Roman" w:cs="Times New Roman"/>
        </w:rPr>
        <w:tab/>
        <w:t xml:space="preserve">Akiyama T, </w:t>
      </w:r>
      <w:proofErr w:type="spellStart"/>
      <w:r w:rsidRPr="00776D4D">
        <w:rPr>
          <w:rFonts w:ascii="Times New Roman" w:hAnsi="Times New Roman" w:cs="Times New Roman"/>
        </w:rPr>
        <w:t>Chikuda</w:t>
      </w:r>
      <w:proofErr w:type="spellEnd"/>
      <w:r w:rsidRPr="00776D4D">
        <w:rPr>
          <w:rFonts w:ascii="Times New Roman" w:hAnsi="Times New Roman" w:cs="Times New Roman"/>
        </w:rPr>
        <w:t xml:space="preserve"> H, Yasunaga H, Horiguchi H, Fushimi K, Saita K. Incidence and risk factors for mortality of vertebral osteomyelitis: a retrospective analysis using the Japanese diagnosis procedure combination database. Published online January 1, 2013. doi:10.1136/bmjopen-2012-002412</w:t>
      </w:r>
    </w:p>
    <w:p w14:paraId="4EA738F2" w14:textId="77777777" w:rsidR="00776D4D" w:rsidRPr="00776D4D" w:rsidRDefault="00776D4D" w:rsidP="00776D4D">
      <w:pPr>
        <w:pStyle w:val="Bibliography"/>
        <w:rPr>
          <w:rFonts w:ascii="Times New Roman" w:hAnsi="Times New Roman" w:cs="Times New Roman"/>
        </w:rPr>
      </w:pPr>
      <w:r w:rsidRPr="00776D4D">
        <w:rPr>
          <w:rFonts w:ascii="Times New Roman" w:hAnsi="Times New Roman" w:cs="Times New Roman"/>
        </w:rPr>
        <w:t>10.</w:t>
      </w:r>
      <w:r w:rsidRPr="00776D4D">
        <w:rPr>
          <w:rFonts w:ascii="Times New Roman" w:hAnsi="Times New Roman" w:cs="Times New Roman"/>
        </w:rPr>
        <w:tab/>
      </w:r>
      <w:proofErr w:type="spellStart"/>
      <w:r w:rsidRPr="00776D4D">
        <w:rPr>
          <w:rFonts w:ascii="Times New Roman" w:hAnsi="Times New Roman" w:cs="Times New Roman"/>
        </w:rPr>
        <w:t>Yagdiran</w:t>
      </w:r>
      <w:proofErr w:type="spellEnd"/>
      <w:r w:rsidRPr="00776D4D">
        <w:rPr>
          <w:rFonts w:ascii="Times New Roman" w:hAnsi="Times New Roman" w:cs="Times New Roman"/>
        </w:rPr>
        <w:t xml:space="preserve"> A, Otto-Lambertz C, </w:t>
      </w:r>
      <w:proofErr w:type="spellStart"/>
      <w:r w:rsidRPr="00776D4D">
        <w:rPr>
          <w:rFonts w:ascii="Times New Roman" w:hAnsi="Times New Roman" w:cs="Times New Roman"/>
        </w:rPr>
        <w:t>Lingscheid</w:t>
      </w:r>
      <w:proofErr w:type="spellEnd"/>
      <w:r w:rsidRPr="00776D4D">
        <w:rPr>
          <w:rFonts w:ascii="Times New Roman" w:hAnsi="Times New Roman" w:cs="Times New Roman"/>
        </w:rPr>
        <w:t xml:space="preserve"> KM, et al. Quality of life and mortality after surgical treatment for vertebral osteomyelitis (VO): a prospective study. </w:t>
      </w:r>
      <w:proofErr w:type="spellStart"/>
      <w:r w:rsidRPr="00776D4D">
        <w:rPr>
          <w:rFonts w:ascii="Times New Roman" w:hAnsi="Times New Roman" w:cs="Times New Roman"/>
          <w:i/>
          <w:iCs/>
        </w:rPr>
        <w:t>Eur</w:t>
      </w:r>
      <w:proofErr w:type="spellEnd"/>
      <w:r w:rsidRPr="00776D4D">
        <w:rPr>
          <w:rFonts w:ascii="Times New Roman" w:hAnsi="Times New Roman" w:cs="Times New Roman"/>
          <w:i/>
          <w:iCs/>
        </w:rPr>
        <w:t xml:space="preserve"> Spine J</w:t>
      </w:r>
      <w:r w:rsidRPr="00776D4D">
        <w:rPr>
          <w:rFonts w:ascii="Times New Roman" w:hAnsi="Times New Roman" w:cs="Times New Roman"/>
        </w:rPr>
        <w:t>. 2021;30(6):1721-1731. doi:10.1007/s00586-020-06519-z</w:t>
      </w:r>
    </w:p>
    <w:p w14:paraId="004082CB" w14:textId="77777777" w:rsidR="00776D4D" w:rsidRPr="00776D4D" w:rsidRDefault="00776D4D" w:rsidP="00776D4D">
      <w:pPr>
        <w:pStyle w:val="Bibliography"/>
        <w:rPr>
          <w:rFonts w:ascii="Times New Roman" w:hAnsi="Times New Roman" w:cs="Times New Roman"/>
        </w:rPr>
      </w:pPr>
      <w:r w:rsidRPr="00776D4D">
        <w:rPr>
          <w:rFonts w:ascii="Times New Roman" w:hAnsi="Times New Roman" w:cs="Times New Roman"/>
        </w:rPr>
        <w:t>11.</w:t>
      </w:r>
      <w:r w:rsidRPr="00776D4D">
        <w:rPr>
          <w:rFonts w:ascii="Times New Roman" w:hAnsi="Times New Roman" w:cs="Times New Roman"/>
        </w:rPr>
        <w:tab/>
      </w:r>
      <w:proofErr w:type="spellStart"/>
      <w:r w:rsidRPr="00776D4D">
        <w:rPr>
          <w:rFonts w:ascii="Times New Roman" w:hAnsi="Times New Roman" w:cs="Times New Roman"/>
        </w:rPr>
        <w:t>Kernich</w:t>
      </w:r>
      <w:proofErr w:type="spellEnd"/>
      <w:r w:rsidRPr="00776D4D">
        <w:rPr>
          <w:rFonts w:ascii="Times New Roman" w:hAnsi="Times New Roman" w:cs="Times New Roman"/>
        </w:rPr>
        <w:t xml:space="preserve"> N, Abi-</w:t>
      </w:r>
      <w:proofErr w:type="spellStart"/>
      <w:r w:rsidRPr="00776D4D">
        <w:rPr>
          <w:rFonts w:ascii="Times New Roman" w:hAnsi="Times New Roman" w:cs="Times New Roman"/>
        </w:rPr>
        <w:t>Chokami</w:t>
      </w:r>
      <w:proofErr w:type="spellEnd"/>
      <w:r w:rsidRPr="00776D4D">
        <w:rPr>
          <w:rFonts w:ascii="Times New Roman" w:hAnsi="Times New Roman" w:cs="Times New Roman"/>
        </w:rPr>
        <w:t xml:space="preserve"> A, Jung N, et al. Early and late mortality in vertebral osteomyelitis: who dies within the first year after diagnosis. </w:t>
      </w:r>
      <w:r w:rsidRPr="00776D4D">
        <w:rPr>
          <w:rFonts w:ascii="Times New Roman" w:hAnsi="Times New Roman" w:cs="Times New Roman"/>
          <w:i/>
          <w:iCs/>
        </w:rPr>
        <w:t>Infection</w:t>
      </w:r>
      <w:r w:rsidRPr="00776D4D">
        <w:rPr>
          <w:rFonts w:ascii="Times New Roman" w:hAnsi="Times New Roman" w:cs="Times New Roman"/>
        </w:rPr>
        <w:t>. Published online May 9, 2025. doi:10.1007/s15010-025-02541-9</w:t>
      </w:r>
    </w:p>
    <w:p w14:paraId="45E66848" w14:textId="77777777" w:rsidR="00776D4D" w:rsidRPr="00776D4D" w:rsidRDefault="00776D4D" w:rsidP="00776D4D">
      <w:pPr>
        <w:pStyle w:val="Bibliography"/>
        <w:rPr>
          <w:rFonts w:ascii="Times New Roman" w:hAnsi="Times New Roman" w:cs="Times New Roman"/>
        </w:rPr>
      </w:pPr>
      <w:r w:rsidRPr="00776D4D">
        <w:rPr>
          <w:rFonts w:ascii="Times New Roman" w:hAnsi="Times New Roman" w:cs="Times New Roman"/>
        </w:rPr>
        <w:t>12.</w:t>
      </w:r>
      <w:r w:rsidRPr="00776D4D">
        <w:rPr>
          <w:rFonts w:ascii="Times New Roman" w:hAnsi="Times New Roman" w:cs="Times New Roman"/>
        </w:rPr>
        <w:tab/>
        <w:t xml:space="preserve">Ziarko TP, Walter N, Schindler M, Alt V, Rupp M, Lang S. Risk Factors for the In-Hospital Mortality in Pyogenic Vertebral Osteomyelitis: A Cross-Sectional Study on 9753 Patients. </w:t>
      </w:r>
      <w:r w:rsidRPr="00776D4D">
        <w:rPr>
          <w:rFonts w:ascii="Times New Roman" w:hAnsi="Times New Roman" w:cs="Times New Roman"/>
          <w:i/>
          <w:iCs/>
        </w:rPr>
        <w:t>J Clin Med</w:t>
      </w:r>
      <w:r w:rsidRPr="00776D4D">
        <w:rPr>
          <w:rFonts w:ascii="Times New Roman" w:hAnsi="Times New Roman" w:cs="Times New Roman"/>
        </w:rPr>
        <w:t>. 2023;12(14):4805. doi:10.3390/jcm12144805</w:t>
      </w:r>
    </w:p>
    <w:p w14:paraId="333B7763" w14:textId="77777777" w:rsidR="00776D4D" w:rsidRPr="00776D4D" w:rsidRDefault="00776D4D" w:rsidP="00776D4D">
      <w:pPr>
        <w:pStyle w:val="Bibliography"/>
        <w:rPr>
          <w:rFonts w:ascii="Times New Roman" w:hAnsi="Times New Roman" w:cs="Times New Roman"/>
        </w:rPr>
      </w:pPr>
      <w:r w:rsidRPr="00776D4D">
        <w:rPr>
          <w:rFonts w:ascii="Times New Roman" w:hAnsi="Times New Roman" w:cs="Times New Roman"/>
        </w:rPr>
        <w:lastRenderedPageBreak/>
        <w:t>13.</w:t>
      </w:r>
      <w:r w:rsidRPr="00776D4D">
        <w:rPr>
          <w:rFonts w:ascii="Times New Roman" w:hAnsi="Times New Roman" w:cs="Times New Roman"/>
        </w:rPr>
        <w:tab/>
        <w:t xml:space="preserve">Liu Y, Zheng Y, Ding S. Development and validation of a prognostic nomogram model for severe osteomyelitis patients. </w:t>
      </w:r>
      <w:r w:rsidRPr="00776D4D">
        <w:rPr>
          <w:rFonts w:ascii="Times New Roman" w:hAnsi="Times New Roman" w:cs="Times New Roman"/>
          <w:i/>
          <w:iCs/>
        </w:rPr>
        <w:t>Sci Rep</w:t>
      </w:r>
      <w:r w:rsidRPr="00776D4D">
        <w:rPr>
          <w:rFonts w:ascii="Times New Roman" w:hAnsi="Times New Roman" w:cs="Times New Roman"/>
        </w:rPr>
        <w:t>. 2025;15(1):318. doi:10.1038/s41598-024-83418-z</w:t>
      </w:r>
    </w:p>
    <w:p w14:paraId="0B5FE20A" w14:textId="77777777" w:rsidR="00776D4D" w:rsidRPr="00776D4D" w:rsidRDefault="00776D4D" w:rsidP="00776D4D">
      <w:pPr>
        <w:pStyle w:val="Bibliography"/>
        <w:rPr>
          <w:rFonts w:ascii="Times New Roman" w:hAnsi="Times New Roman" w:cs="Times New Roman"/>
        </w:rPr>
      </w:pPr>
      <w:r w:rsidRPr="00776D4D">
        <w:rPr>
          <w:rFonts w:ascii="Times New Roman" w:hAnsi="Times New Roman" w:cs="Times New Roman"/>
        </w:rPr>
        <w:t>14.</w:t>
      </w:r>
      <w:r w:rsidRPr="00776D4D">
        <w:rPr>
          <w:rFonts w:ascii="Times New Roman" w:hAnsi="Times New Roman" w:cs="Times New Roman"/>
        </w:rPr>
        <w:tab/>
        <w:t>Centers for Disease Control and Prevention. CDC WONDER. Centers for Disease Control and Prevention. April 8, 2025. Accessed April 15, 2025. https://wonder.cdc.gov/</w:t>
      </w:r>
    </w:p>
    <w:p w14:paraId="786F61A3" w14:textId="77777777" w:rsidR="00776D4D" w:rsidRPr="00776D4D" w:rsidRDefault="00776D4D" w:rsidP="00776D4D">
      <w:pPr>
        <w:pStyle w:val="Bibliography"/>
        <w:rPr>
          <w:rFonts w:ascii="Times New Roman" w:hAnsi="Times New Roman" w:cs="Times New Roman"/>
        </w:rPr>
      </w:pPr>
      <w:r w:rsidRPr="00776D4D">
        <w:rPr>
          <w:rFonts w:ascii="Times New Roman" w:hAnsi="Times New Roman" w:cs="Times New Roman"/>
        </w:rPr>
        <w:t>15.</w:t>
      </w:r>
      <w:r w:rsidRPr="00776D4D">
        <w:rPr>
          <w:rFonts w:ascii="Times New Roman" w:hAnsi="Times New Roman" w:cs="Times New Roman"/>
        </w:rPr>
        <w:tab/>
        <w:t>WONDER Help. CDC WONDER. April 8, 2025. Accessed April 15, 2025. https://wonder.cdc.gov/wonder/help/main.html</w:t>
      </w:r>
    </w:p>
    <w:p w14:paraId="70D1DC69" w14:textId="64019968" w:rsidR="00FC2F1E" w:rsidRDefault="00724F3D" w:rsidP="00776D4D">
      <w:pPr>
        <w:pStyle w:val="Bibliography"/>
        <w:rPr>
          <w:rFonts w:ascii="Times New Roman" w:hAnsi="Times New Roman" w:cs="Times New Roman"/>
        </w:rPr>
      </w:pPr>
      <w:r>
        <w:rPr>
          <w:rFonts w:ascii="Times New Roman" w:hAnsi="Times New Roman" w:cs="Times New Roman"/>
        </w:rPr>
        <w:fldChar w:fldCharType="end"/>
      </w:r>
    </w:p>
    <w:p w14:paraId="46EF5B22" w14:textId="77777777" w:rsidR="00FC2F1E" w:rsidRDefault="00FC2F1E">
      <w:pPr>
        <w:rPr>
          <w:rFonts w:ascii="Times New Roman" w:hAnsi="Times New Roman" w:cs="Times New Roman"/>
        </w:rPr>
      </w:pPr>
      <w:r>
        <w:rPr>
          <w:rFonts w:ascii="Times New Roman" w:hAnsi="Times New Roman" w:cs="Times New Roman"/>
        </w:rPr>
        <w:br w:type="page"/>
      </w:r>
    </w:p>
    <w:p w14:paraId="311EB9C8" w14:textId="4E74DF1C" w:rsidR="00BE1CD0" w:rsidRDefault="00FC2F1E" w:rsidP="00BE1CD0">
      <w:pPr>
        <w:spacing w:line="480" w:lineRule="auto"/>
        <w:rPr>
          <w:rFonts w:ascii="Times New Roman" w:eastAsia="Times New Roman" w:hAnsi="Times New Roman" w:cs="Times New Roman"/>
          <w:b/>
        </w:rPr>
      </w:pPr>
      <w:r>
        <w:rPr>
          <w:rFonts w:ascii="Times New Roman" w:hAnsi="Times New Roman" w:cs="Times New Roman"/>
          <w:b/>
          <w:bCs/>
        </w:rPr>
        <w:lastRenderedPageBreak/>
        <w:t xml:space="preserve">Figure 1. </w:t>
      </w:r>
      <w:r w:rsidR="00BE1CD0">
        <w:rPr>
          <w:rFonts w:ascii="Times New Roman" w:eastAsia="Times New Roman" w:hAnsi="Times New Roman" w:cs="Times New Roman"/>
          <w:b/>
        </w:rPr>
        <w:t xml:space="preserve">National Trend in Osteomyelitis Mortality, United States 1999-2020. </w:t>
      </w:r>
    </w:p>
    <w:p w14:paraId="02C9EB2D" w14:textId="77777777" w:rsidR="00BE1CD0" w:rsidRDefault="00BE1CD0" w:rsidP="00BE1CD0">
      <w:pPr>
        <w:spacing w:line="480" w:lineRule="auto"/>
        <w:jc w:val="center"/>
        <w:rPr>
          <w:rFonts w:ascii="Times New Roman" w:eastAsia="Times New Roman" w:hAnsi="Times New Roman" w:cs="Times New Roman"/>
          <w:b/>
        </w:rPr>
      </w:pPr>
      <w:r>
        <w:rPr>
          <w:rFonts w:ascii="Times New Roman" w:eastAsia="Times New Roman" w:hAnsi="Times New Roman" w:cs="Times New Roman"/>
          <w:noProof/>
        </w:rPr>
        <w:drawing>
          <wp:inline distT="114300" distB="114300" distL="114300" distR="114300" wp14:anchorId="7037639D" wp14:editId="4FF57E7A">
            <wp:extent cx="5943600" cy="3927837"/>
            <wp:effectExtent l="0" t="0" r="0" b="0"/>
            <wp:docPr id="1" name="image4.png" descr="A graph with a blue line&#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4.png" descr="A graph with a blue line&#10;&#10;AI-generated content may be incorrect."/>
                    <pic:cNvPicPr preferRelativeResize="0"/>
                  </pic:nvPicPr>
                  <pic:blipFill rotWithShape="1">
                    <a:blip r:embed="rId4"/>
                    <a:srcRect t="9832"/>
                    <a:stretch/>
                  </pic:blipFill>
                  <pic:spPr bwMode="auto">
                    <a:xfrm>
                      <a:off x="0" y="0"/>
                      <a:ext cx="5943600" cy="3927837"/>
                    </a:xfrm>
                    <a:prstGeom prst="rect">
                      <a:avLst/>
                    </a:prstGeom>
                    <a:ln>
                      <a:noFill/>
                    </a:ln>
                    <a:extLst>
                      <a:ext uri="{53640926-AAD7-44D8-BBD7-CCE9431645EC}">
                        <a14:shadowObscured xmlns:a14="http://schemas.microsoft.com/office/drawing/2010/main"/>
                      </a:ext>
                    </a:extLst>
                  </pic:spPr>
                </pic:pic>
              </a:graphicData>
            </a:graphic>
          </wp:inline>
        </w:drawing>
      </w:r>
      <w:r>
        <w:br w:type="page"/>
      </w:r>
    </w:p>
    <w:p w14:paraId="174FD5B2" w14:textId="77777777" w:rsidR="00BE1CD0" w:rsidRDefault="00BE1CD0" w:rsidP="00BE1CD0">
      <w:pPr>
        <w:spacing w:line="480" w:lineRule="auto"/>
        <w:rPr>
          <w:rFonts w:ascii="Times New Roman" w:eastAsia="Times New Roman" w:hAnsi="Times New Roman" w:cs="Times New Roman"/>
        </w:rPr>
      </w:pPr>
      <w:r>
        <w:rPr>
          <w:rFonts w:ascii="Times New Roman" w:eastAsia="Times New Roman" w:hAnsi="Times New Roman" w:cs="Times New Roman"/>
          <w:b/>
        </w:rPr>
        <w:lastRenderedPageBreak/>
        <w:t xml:space="preserve">Figure 2. Trends in Osteomyelitis Mortality by Sex, United States 1999-2020. </w:t>
      </w:r>
    </w:p>
    <w:p w14:paraId="6CC5D7EB" w14:textId="77777777" w:rsidR="00BE1CD0" w:rsidRDefault="00BE1CD0" w:rsidP="00BE1CD0">
      <w:pPr>
        <w:spacing w:line="480" w:lineRule="auto"/>
        <w:jc w:val="center"/>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3CBFC0F3" wp14:editId="180200D0">
            <wp:extent cx="5943600" cy="3939412"/>
            <wp:effectExtent l="0" t="0" r="0" b="0"/>
            <wp:docPr id="2" name="image2.png" descr="A graph with lines and dots&#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2.png" descr="A graph with lines and dots&#10;&#10;AI-generated content may be incorrect."/>
                    <pic:cNvPicPr preferRelativeResize="0"/>
                  </pic:nvPicPr>
                  <pic:blipFill rotWithShape="1">
                    <a:blip r:embed="rId5"/>
                    <a:srcRect t="9566"/>
                    <a:stretch/>
                  </pic:blipFill>
                  <pic:spPr bwMode="auto">
                    <a:xfrm>
                      <a:off x="0" y="0"/>
                      <a:ext cx="5943600" cy="3939412"/>
                    </a:xfrm>
                    <a:prstGeom prst="rect">
                      <a:avLst/>
                    </a:prstGeom>
                    <a:ln>
                      <a:noFill/>
                    </a:ln>
                    <a:extLst>
                      <a:ext uri="{53640926-AAD7-44D8-BBD7-CCE9431645EC}">
                        <a14:shadowObscured xmlns:a14="http://schemas.microsoft.com/office/drawing/2010/main"/>
                      </a:ext>
                    </a:extLst>
                  </pic:spPr>
                </pic:pic>
              </a:graphicData>
            </a:graphic>
          </wp:inline>
        </w:drawing>
      </w:r>
      <w:r>
        <w:br w:type="page"/>
      </w:r>
    </w:p>
    <w:p w14:paraId="7CF9436F" w14:textId="77777777" w:rsidR="00BE1CD0" w:rsidRDefault="00BE1CD0" w:rsidP="00BE1CD0">
      <w:pPr>
        <w:spacing w:line="480" w:lineRule="auto"/>
        <w:rPr>
          <w:rFonts w:ascii="Times New Roman" w:eastAsia="Times New Roman" w:hAnsi="Times New Roman" w:cs="Times New Roman"/>
        </w:rPr>
      </w:pPr>
      <w:r>
        <w:rPr>
          <w:rFonts w:ascii="Times New Roman" w:eastAsia="Times New Roman" w:hAnsi="Times New Roman" w:cs="Times New Roman"/>
          <w:b/>
        </w:rPr>
        <w:lastRenderedPageBreak/>
        <w:t xml:space="preserve">Figure 3. Trends in Osteomyelitis Mortality by Race, United States 1999-2020. </w:t>
      </w:r>
    </w:p>
    <w:p w14:paraId="019CFD47" w14:textId="77777777" w:rsidR="00BE1CD0" w:rsidRDefault="00BE1CD0" w:rsidP="00BE1CD0">
      <w:pPr>
        <w:spacing w:line="480" w:lineRule="auto"/>
        <w:rPr>
          <w:rFonts w:ascii="Times New Roman" w:eastAsia="Times New Roman" w:hAnsi="Times New Roman" w:cs="Times New Roman"/>
          <w:b/>
        </w:rPr>
      </w:pPr>
      <w:r>
        <w:rPr>
          <w:rFonts w:ascii="Times New Roman" w:eastAsia="Times New Roman" w:hAnsi="Times New Roman" w:cs="Times New Roman"/>
          <w:noProof/>
        </w:rPr>
        <w:drawing>
          <wp:inline distT="114300" distB="114300" distL="114300" distR="114300" wp14:anchorId="4E517099" wp14:editId="1FE5F405">
            <wp:extent cx="5943600" cy="3927837"/>
            <wp:effectExtent l="0" t="0" r="0" b="0"/>
            <wp:docPr id="3" name="image1.png" descr="A graph of different colore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1.png" descr="A graph of different colored lines&#10;&#10;AI-generated content may be incorrect."/>
                    <pic:cNvPicPr preferRelativeResize="0"/>
                  </pic:nvPicPr>
                  <pic:blipFill rotWithShape="1">
                    <a:blip r:embed="rId6"/>
                    <a:srcRect t="9832"/>
                    <a:stretch/>
                  </pic:blipFill>
                  <pic:spPr bwMode="auto">
                    <a:xfrm>
                      <a:off x="0" y="0"/>
                      <a:ext cx="5943600" cy="3927837"/>
                    </a:xfrm>
                    <a:prstGeom prst="rect">
                      <a:avLst/>
                    </a:prstGeom>
                    <a:ln>
                      <a:noFill/>
                    </a:ln>
                    <a:extLst>
                      <a:ext uri="{53640926-AAD7-44D8-BBD7-CCE9431645EC}">
                        <a14:shadowObscured xmlns:a14="http://schemas.microsoft.com/office/drawing/2010/main"/>
                      </a:ext>
                    </a:extLst>
                  </pic:spPr>
                </pic:pic>
              </a:graphicData>
            </a:graphic>
          </wp:inline>
        </w:drawing>
      </w:r>
      <w:r>
        <w:br w:type="page"/>
      </w:r>
    </w:p>
    <w:p w14:paraId="7EAD3B52" w14:textId="77777777" w:rsidR="00BE1CD0" w:rsidRDefault="00BE1CD0" w:rsidP="00BE1CD0">
      <w:pPr>
        <w:spacing w:line="480" w:lineRule="auto"/>
        <w:rPr>
          <w:rFonts w:ascii="Times New Roman" w:eastAsia="Times New Roman" w:hAnsi="Times New Roman" w:cs="Times New Roman"/>
        </w:rPr>
      </w:pPr>
      <w:r>
        <w:rPr>
          <w:rFonts w:ascii="Times New Roman" w:eastAsia="Times New Roman" w:hAnsi="Times New Roman" w:cs="Times New Roman"/>
          <w:b/>
        </w:rPr>
        <w:lastRenderedPageBreak/>
        <w:t xml:space="preserve">Figure 4. Overall Age-Adjusted Mortality Rates by Demographic Group, United States 1999-2020. </w:t>
      </w:r>
    </w:p>
    <w:p w14:paraId="56C9B146" w14:textId="77777777" w:rsidR="00BE1CD0" w:rsidRDefault="00BE1CD0" w:rsidP="00BE1CD0">
      <w:pPr>
        <w:spacing w:line="48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4279D53" wp14:editId="53CF3018">
            <wp:extent cx="5943600" cy="3881538"/>
            <wp:effectExtent l="0" t="0" r="0" b="0"/>
            <wp:docPr id="4" name="image3.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3.png" descr="A screenshot of a computer&#10;&#10;AI-generated content may be incorrect."/>
                    <pic:cNvPicPr preferRelativeResize="0"/>
                  </pic:nvPicPr>
                  <pic:blipFill rotWithShape="1">
                    <a:blip r:embed="rId7"/>
                    <a:srcRect t="10894"/>
                    <a:stretch/>
                  </pic:blipFill>
                  <pic:spPr bwMode="auto">
                    <a:xfrm>
                      <a:off x="0" y="0"/>
                      <a:ext cx="5943600" cy="3881538"/>
                    </a:xfrm>
                    <a:prstGeom prst="rect">
                      <a:avLst/>
                    </a:prstGeom>
                    <a:ln>
                      <a:noFill/>
                    </a:ln>
                    <a:extLst>
                      <a:ext uri="{53640926-AAD7-44D8-BBD7-CCE9431645EC}">
                        <a14:shadowObscured xmlns:a14="http://schemas.microsoft.com/office/drawing/2010/main"/>
                      </a:ext>
                    </a:extLst>
                  </pic:spPr>
                </pic:pic>
              </a:graphicData>
            </a:graphic>
          </wp:inline>
        </w:drawing>
      </w:r>
    </w:p>
    <w:p w14:paraId="12A2B2CF" w14:textId="77777777" w:rsidR="00BE1CD0" w:rsidRDefault="00BE1CD0" w:rsidP="00BE1CD0">
      <w:pPr>
        <w:spacing w:line="480" w:lineRule="auto"/>
        <w:rPr>
          <w:rFonts w:ascii="Times New Roman" w:eastAsia="Times New Roman" w:hAnsi="Times New Roman" w:cs="Times New Roman"/>
        </w:rPr>
      </w:pPr>
    </w:p>
    <w:p w14:paraId="06B263A7" w14:textId="77777777" w:rsidR="00BE1CD0" w:rsidRDefault="00BE1CD0" w:rsidP="00BE1CD0">
      <w:pPr>
        <w:spacing w:line="480" w:lineRule="auto"/>
        <w:rPr>
          <w:rFonts w:ascii="Times New Roman" w:eastAsia="Times New Roman" w:hAnsi="Times New Roman" w:cs="Times New Roman"/>
        </w:rPr>
      </w:pPr>
    </w:p>
    <w:p w14:paraId="04A5B6D8" w14:textId="77777777" w:rsidR="00BE1CD0" w:rsidRDefault="00BE1CD0" w:rsidP="00BE1CD0">
      <w:pPr>
        <w:spacing w:line="480" w:lineRule="auto"/>
        <w:rPr>
          <w:rFonts w:ascii="Times New Roman" w:eastAsia="Times New Roman" w:hAnsi="Times New Roman" w:cs="Times New Roman"/>
        </w:rPr>
      </w:pPr>
    </w:p>
    <w:p w14:paraId="44752226" w14:textId="64642048" w:rsidR="00AA2FF5" w:rsidRPr="00FC2F1E" w:rsidRDefault="00AA2FF5" w:rsidP="00676552">
      <w:pPr>
        <w:spacing w:after="0" w:line="480" w:lineRule="auto"/>
        <w:rPr>
          <w:rFonts w:ascii="Times New Roman" w:hAnsi="Times New Roman" w:cs="Times New Roman"/>
          <w:b/>
          <w:bCs/>
        </w:rPr>
      </w:pPr>
    </w:p>
    <w:sectPr w:rsidR="00AA2FF5" w:rsidRPr="00FC2F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DF3"/>
    <w:rsid w:val="00012EEF"/>
    <w:rsid w:val="00016C80"/>
    <w:rsid w:val="00025EF0"/>
    <w:rsid w:val="000278ED"/>
    <w:rsid w:val="000326E8"/>
    <w:rsid w:val="00036939"/>
    <w:rsid w:val="00043CC1"/>
    <w:rsid w:val="00046ABF"/>
    <w:rsid w:val="00051BA0"/>
    <w:rsid w:val="000537CE"/>
    <w:rsid w:val="00060D50"/>
    <w:rsid w:val="0006741C"/>
    <w:rsid w:val="00071B24"/>
    <w:rsid w:val="00073766"/>
    <w:rsid w:val="00080BA5"/>
    <w:rsid w:val="00090F8C"/>
    <w:rsid w:val="000A1DB4"/>
    <w:rsid w:val="000A3C37"/>
    <w:rsid w:val="000A4561"/>
    <w:rsid w:val="000B1B3C"/>
    <w:rsid w:val="000B26F9"/>
    <w:rsid w:val="000B5F33"/>
    <w:rsid w:val="000B6AB9"/>
    <w:rsid w:val="000B7074"/>
    <w:rsid w:val="000C5DF8"/>
    <w:rsid w:val="000C5FA2"/>
    <w:rsid w:val="000E7173"/>
    <w:rsid w:val="000F0546"/>
    <w:rsid w:val="000F2156"/>
    <w:rsid w:val="000F25EB"/>
    <w:rsid w:val="000F26E2"/>
    <w:rsid w:val="001011D9"/>
    <w:rsid w:val="00111152"/>
    <w:rsid w:val="001133F8"/>
    <w:rsid w:val="00115A21"/>
    <w:rsid w:val="00116699"/>
    <w:rsid w:val="00116E72"/>
    <w:rsid w:val="00120961"/>
    <w:rsid w:val="001308A1"/>
    <w:rsid w:val="00132547"/>
    <w:rsid w:val="00132565"/>
    <w:rsid w:val="0014246D"/>
    <w:rsid w:val="00142CD2"/>
    <w:rsid w:val="0014775E"/>
    <w:rsid w:val="00155211"/>
    <w:rsid w:val="00155D35"/>
    <w:rsid w:val="0018366E"/>
    <w:rsid w:val="001A038A"/>
    <w:rsid w:val="001A36A0"/>
    <w:rsid w:val="001B6DC0"/>
    <w:rsid w:val="001B7F52"/>
    <w:rsid w:val="001D0039"/>
    <w:rsid w:val="001D7584"/>
    <w:rsid w:val="001E1FD7"/>
    <w:rsid w:val="001E291C"/>
    <w:rsid w:val="001E5D59"/>
    <w:rsid w:val="001F4164"/>
    <w:rsid w:val="001F7111"/>
    <w:rsid w:val="00205963"/>
    <w:rsid w:val="00221002"/>
    <w:rsid w:val="00232142"/>
    <w:rsid w:val="00232331"/>
    <w:rsid w:val="002362B2"/>
    <w:rsid w:val="00236D28"/>
    <w:rsid w:val="002511F7"/>
    <w:rsid w:val="00254194"/>
    <w:rsid w:val="00265AED"/>
    <w:rsid w:val="002677CA"/>
    <w:rsid w:val="0027192C"/>
    <w:rsid w:val="00274C29"/>
    <w:rsid w:val="00281C9A"/>
    <w:rsid w:val="00296DB0"/>
    <w:rsid w:val="002A08C0"/>
    <w:rsid w:val="002A4807"/>
    <w:rsid w:val="002A4DEF"/>
    <w:rsid w:val="002B00EC"/>
    <w:rsid w:val="002C02D6"/>
    <w:rsid w:val="002C40DC"/>
    <w:rsid w:val="002D2B64"/>
    <w:rsid w:val="002D3824"/>
    <w:rsid w:val="002E2198"/>
    <w:rsid w:val="00305649"/>
    <w:rsid w:val="003056D5"/>
    <w:rsid w:val="00316DBB"/>
    <w:rsid w:val="00327133"/>
    <w:rsid w:val="0034574E"/>
    <w:rsid w:val="00352F7E"/>
    <w:rsid w:val="0035603E"/>
    <w:rsid w:val="003571F7"/>
    <w:rsid w:val="003612F0"/>
    <w:rsid w:val="003615A0"/>
    <w:rsid w:val="003832CC"/>
    <w:rsid w:val="00384CEF"/>
    <w:rsid w:val="00392FC4"/>
    <w:rsid w:val="00393529"/>
    <w:rsid w:val="00395412"/>
    <w:rsid w:val="0039584D"/>
    <w:rsid w:val="00397A37"/>
    <w:rsid w:val="003A07C8"/>
    <w:rsid w:val="003A5444"/>
    <w:rsid w:val="003A717C"/>
    <w:rsid w:val="003C43C7"/>
    <w:rsid w:val="003D26B8"/>
    <w:rsid w:val="003D6773"/>
    <w:rsid w:val="003D7DFA"/>
    <w:rsid w:val="003E08B3"/>
    <w:rsid w:val="003E7CFE"/>
    <w:rsid w:val="003F0066"/>
    <w:rsid w:val="004006CA"/>
    <w:rsid w:val="0040394E"/>
    <w:rsid w:val="004066E2"/>
    <w:rsid w:val="00416099"/>
    <w:rsid w:val="00423FDA"/>
    <w:rsid w:val="0043031D"/>
    <w:rsid w:val="00430831"/>
    <w:rsid w:val="0044099B"/>
    <w:rsid w:val="00452FE1"/>
    <w:rsid w:val="00455050"/>
    <w:rsid w:val="00461666"/>
    <w:rsid w:val="00466161"/>
    <w:rsid w:val="00466E10"/>
    <w:rsid w:val="00477BEA"/>
    <w:rsid w:val="00483FCA"/>
    <w:rsid w:val="004928DD"/>
    <w:rsid w:val="004936B9"/>
    <w:rsid w:val="004968D6"/>
    <w:rsid w:val="0049698E"/>
    <w:rsid w:val="004A0CD5"/>
    <w:rsid w:val="004A2D36"/>
    <w:rsid w:val="004B5A51"/>
    <w:rsid w:val="004C79C7"/>
    <w:rsid w:val="004D120C"/>
    <w:rsid w:val="004E542F"/>
    <w:rsid w:val="004E5AD4"/>
    <w:rsid w:val="004F08B2"/>
    <w:rsid w:val="004F3DFD"/>
    <w:rsid w:val="004F6C2D"/>
    <w:rsid w:val="0050542F"/>
    <w:rsid w:val="005143FC"/>
    <w:rsid w:val="00516730"/>
    <w:rsid w:val="00517176"/>
    <w:rsid w:val="00517531"/>
    <w:rsid w:val="00526C7C"/>
    <w:rsid w:val="005302E8"/>
    <w:rsid w:val="0053074E"/>
    <w:rsid w:val="005327B2"/>
    <w:rsid w:val="00533EFF"/>
    <w:rsid w:val="005400BB"/>
    <w:rsid w:val="005413FB"/>
    <w:rsid w:val="0055472F"/>
    <w:rsid w:val="0056256C"/>
    <w:rsid w:val="005664E3"/>
    <w:rsid w:val="00567E4B"/>
    <w:rsid w:val="0057176C"/>
    <w:rsid w:val="00571811"/>
    <w:rsid w:val="00576D58"/>
    <w:rsid w:val="00580094"/>
    <w:rsid w:val="00582A1D"/>
    <w:rsid w:val="00594AC4"/>
    <w:rsid w:val="005A6468"/>
    <w:rsid w:val="005B383B"/>
    <w:rsid w:val="005D121F"/>
    <w:rsid w:val="005D3C4E"/>
    <w:rsid w:val="005D68F1"/>
    <w:rsid w:val="005F2061"/>
    <w:rsid w:val="00601A72"/>
    <w:rsid w:val="00602135"/>
    <w:rsid w:val="00606C40"/>
    <w:rsid w:val="00611945"/>
    <w:rsid w:val="00611A1C"/>
    <w:rsid w:val="00611C72"/>
    <w:rsid w:val="00616648"/>
    <w:rsid w:val="00623EF6"/>
    <w:rsid w:val="00626B7F"/>
    <w:rsid w:val="00632BE2"/>
    <w:rsid w:val="0063459F"/>
    <w:rsid w:val="00640E0A"/>
    <w:rsid w:val="006426D1"/>
    <w:rsid w:val="0064402F"/>
    <w:rsid w:val="00656E37"/>
    <w:rsid w:val="00676552"/>
    <w:rsid w:val="00684997"/>
    <w:rsid w:val="006930AE"/>
    <w:rsid w:val="006951C0"/>
    <w:rsid w:val="006A5B53"/>
    <w:rsid w:val="006A635A"/>
    <w:rsid w:val="006A6631"/>
    <w:rsid w:val="006C3CCA"/>
    <w:rsid w:val="006E7C9E"/>
    <w:rsid w:val="006F3E51"/>
    <w:rsid w:val="006F7CAC"/>
    <w:rsid w:val="00701B9D"/>
    <w:rsid w:val="007026F6"/>
    <w:rsid w:val="007079C8"/>
    <w:rsid w:val="0071171A"/>
    <w:rsid w:val="00712407"/>
    <w:rsid w:val="00714254"/>
    <w:rsid w:val="00715940"/>
    <w:rsid w:val="00724F3D"/>
    <w:rsid w:val="00730A07"/>
    <w:rsid w:val="00731E77"/>
    <w:rsid w:val="00737388"/>
    <w:rsid w:val="00753832"/>
    <w:rsid w:val="0076404A"/>
    <w:rsid w:val="00771CCB"/>
    <w:rsid w:val="00776D4D"/>
    <w:rsid w:val="00780A9A"/>
    <w:rsid w:val="00781FF4"/>
    <w:rsid w:val="007930D2"/>
    <w:rsid w:val="007A078D"/>
    <w:rsid w:val="007A3E06"/>
    <w:rsid w:val="007B0940"/>
    <w:rsid w:val="007C6A4C"/>
    <w:rsid w:val="007D57BB"/>
    <w:rsid w:val="007D743D"/>
    <w:rsid w:val="007D7711"/>
    <w:rsid w:val="007E34BE"/>
    <w:rsid w:val="007E3B80"/>
    <w:rsid w:val="007E5B1B"/>
    <w:rsid w:val="007F325B"/>
    <w:rsid w:val="007F6D17"/>
    <w:rsid w:val="007F7092"/>
    <w:rsid w:val="007F7E3D"/>
    <w:rsid w:val="00813BF0"/>
    <w:rsid w:val="00822961"/>
    <w:rsid w:val="008259F0"/>
    <w:rsid w:val="00830BE6"/>
    <w:rsid w:val="00831D01"/>
    <w:rsid w:val="0083539B"/>
    <w:rsid w:val="00840333"/>
    <w:rsid w:val="00850FED"/>
    <w:rsid w:val="008648BA"/>
    <w:rsid w:val="008667D4"/>
    <w:rsid w:val="0088083F"/>
    <w:rsid w:val="008825F4"/>
    <w:rsid w:val="008863BE"/>
    <w:rsid w:val="008961B7"/>
    <w:rsid w:val="008A1C92"/>
    <w:rsid w:val="008A6244"/>
    <w:rsid w:val="008A727D"/>
    <w:rsid w:val="008B1906"/>
    <w:rsid w:val="008B41E2"/>
    <w:rsid w:val="008B5509"/>
    <w:rsid w:val="008C3307"/>
    <w:rsid w:val="008D3CC4"/>
    <w:rsid w:val="008D7DDC"/>
    <w:rsid w:val="008E1450"/>
    <w:rsid w:val="008E245E"/>
    <w:rsid w:val="008E53B3"/>
    <w:rsid w:val="008E5826"/>
    <w:rsid w:val="008F0948"/>
    <w:rsid w:val="008F4715"/>
    <w:rsid w:val="00904099"/>
    <w:rsid w:val="009074CE"/>
    <w:rsid w:val="00914A1C"/>
    <w:rsid w:val="00925304"/>
    <w:rsid w:val="00926383"/>
    <w:rsid w:val="00930C46"/>
    <w:rsid w:val="00932B52"/>
    <w:rsid w:val="00933217"/>
    <w:rsid w:val="0093674C"/>
    <w:rsid w:val="00937CA0"/>
    <w:rsid w:val="00951B0C"/>
    <w:rsid w:val="00954D41"/>
    <w:rsid w:val="00957E14"/>
    <w:rsid w:val="009624CE"/>
    <w:rsid w:val="009626FD"/>
    <w:rsid w:val="009729D3"/>
    <w:rsid w:val="00973544"/>
    <w:rsid w:val="009760F0"/>
    <w:rsid w:val="00977B0C"/>
    <w:rsid w:val="00981933"/>
    <w:rsid w:val="00984901"/>
    <w:rsid w:val="009A0B78"/>
    <w:rsid w:val="009B2B3F"/>
    <w:rsid w:val="009C1E46"/>
    <w:rsid w:val="009C2674"/>
    <w:rsid w:val="009C26A5"/>
    <w:rsid w:val="009C274E"/>
    <w:rsid w:val="009D09C1"/>
    <w:rsid w:val="009D5972"/>
    <w:rsid w:val="009D6986"/>
    <w:rsid w:val="009E145C"/>
    <w:rsid w:val="009E2883"/>
    <w:rsid w:val="009E7F84"/>
    <w:rsid w:val="009F243D"/>
    <w:rsid w:val="009F464F"/>
    <w:rsid w:val="009F4868"/>
    <w:rsid w:val="009F4F41"/>
    <w:rsid w:val="00A11BCC"/>
    <w:rsid w:val="00A11D00"/>
    <w:rsid w:val="00A24465"/>
    <w:rsid w:val="00A25603"/>
    <w:rsid w:val="00A42039"/>
    <w:rsid w:val="00A45683"/>
    <w:rsid w:val="00A551ED"/>
    <w:rsid w:val="00A55EA7"/>
    <w:rsid w:val="00A56B68"/>
    <w:rsid w:val="00A61BBC"/>
    <w:rsid w:val="00A65090"/>
    <w:rsid w:val="00A66A98"/>
    <w:rsid w:val="00A70A6D"/>
    <w:rsid w:val="00A7312C"/>
    <w:rsid w:val="00A83FA5"/>
    <w:rsid w:val="00A86F67"/>
    <w:rsid w:val="00A91601"/>
    <w:rsid w:val="00A9161E"/>
    <w:rsid w:val="00A933F5"/>
    <w:rsid w:val="00AA1B71"/>
    <w:rsid w:val="00AA2FF5"/>
    <w:rsid w:val="00AA5478"/>
    <w:rsid w:val="00AB2F83"/>
    <w:rsid w:val="00AB3CAC"/>
    <w:rsid w:val="00AB5BCF"/>
    <w:rsid w:val="00AB5F7C"/>
    <w:rsid w:val="00AC3075"/>
    <w:rsid w:val="00AC3719"/>
    <w:rsid w:val="00AC3C48"/>
    <w:rsid w:val="00AC7ECB"/>
    <w:rsid w:val="00AD04ED"/>
    <w:rsid w:val="00AD17C9"/>
    <w:rsid w:val="00AD2CF3"/>
    <w:rsid w:val="00AE0A86"/>
    <w:rsid w:val="00AE60CC"/>
    <w:rsid w:val="00AE6CBF"/>
    <w:rsid w:val="00AF2B83"/>
    <w:rsid w:val="00AF5E03"/>
    <w:rsid w:val="00B00E23"/>
    <w:rsid w:val="00B06DCB"/>
    <w:rsid w:val="00B27DBB"/>
    <w:rsid w:val="00B32598"/>
    <w:rsid w:val="00B404F5"/>
    <w:rsid w:val="00B41461"/>
    <w:rsid w:val="00B54B09"/>
    <w:rsid w:val="00B63A69"/>
    <w:rsid w:val="00B64DC7"/>
    <w:rsid w:val="00B83351"/>
    <w:rsid w:val="00B840A6"/>
    <w:rsid w:val="00B84CE6"/>
    <w:rsid w:val="00B85B38"/>
    <w:rsid w:val="00B85DF8"/>
    <w:rsid w:val="00B91FD2"/>
    <w:rsid w:val="00B95B6C"/>
    <w:rsid w:val="00B97FED"/>
    <w:rsid w:val="00BA1BA2"/>
    <w:rsid w:val="00BB39F5"/>
    <w:rsid w:val="00BC5758"/>
    <w:rsid w:val="00BC7343"/>
    <w:rsid w:val="00BD4F6A"/>
    <w:rsid w:val="00BE0490"/>
    <w:rsid w:val="00BE1393"/>
    <w:rsid w:val="00BE1CD0"/>
    <w:rsid w:val="00BE33DB"/>
    <w:rsid w:val="00BE4597"/>
    <w:rsid w:val="00BF33BF"/>
    <w:rsid w:val="00BF471B"/>
    <w:rsid w:val="00C05462"/>
    <w:rsid w:val="00C066A2"/>
    <w:rsid w:val="00C174F7"/>
    <w:rsid w:val="00C278F4"/>
    <w:rsid w:val="00C40B11"/>
    <w:rsid w:val="00C4199C"/>
    <w:rsid w:val="00C45597"/>
    <w:rsid w:val="00C5104F"/>
    <w:rsid w:val="00C6228E"/>
    <w:rsid w:val="00C7285D"/>
    <w:rsid w:val="00C7371E"/>
    <w:rsid w:val="00C7592E"/>
    <w:rsid w:val="00C81818"/>
    <w:rsid w:val="00C91A1C"/>
    <w:rsid w:val="00C94FEE"/>
    <w:rsid w:val="00CB5695"/>
    <w:rsid w:val="00CC6841"/>
    <w:rsid w:val="00CC6A7D"/>
    <w:rsid w:val="00CD3FDC"/>
    <w:rsid w:val="00CE3AD9"/>
    <w:rsid w:val="00CF2E76"/>
    <w:rsid w:val="00CF65FF"/>
    <w:rsid w:val="00D03BBB"/>
    <w:rsid w:val="00D04AF8"/>
    <w:rsid w:val="00D074D3"/>
    <w:rsid w:val="00D10EEA"/>
    <w:rsid w:val="00D13907"/>
    <w:rsid w:val="00D17415"/>
    <w:rsid w:val="00D208BD"/>
    <w:rsid w:val="00D22CC3"/>
    <w:rsid w:val="00D2399D"/>
    <w:rsid w:val="00D24347"/>
    <w:rsid w:val="00D304FF"/>
    <w:rsid w:val="00D40D5A"/>
    <w:rsid w:val="00D453EE"/>
    <w:rsid w:val="00D509B1"/>
    <w:rsid w:val="00D54A3D"/>
    <w:rsid w:val="00D56503"/>
    <w:rsid w:val="00D6446B"/>
    <w:rsid w:val="00D64661"/>
    <w:rsid w:val="00D70EEA"/>
    <w:rsid w:val="00D71DFD"/>
    <w:rsid w:val="00DA4462"/>
    <w:rsid w:val="00DA7FB2"/>
    <w:rsid w:val="00DB0A7E"/>
    <w:rsid w:val="00DB18A8"/>
    <w:rsid w:val="00DB2FFD"/>
    <w:rsid w:val="00DC1D1C"/>
    <w:rsid w:val="00DC343E"/>
    <w:rsid w:val="00DC740D"/>
    <w:rsid w:val="00DE2A8F"/>
    <w:rsid w:val="00DF1AE3"/>
    <w:rsid w:val="00DF6DBB"/>
    <w:rsid w:val="00E0132C"/>
    <w:rsid w:val="00E01B64"/>
    <w:rsid w:val="00E03455"/>
    <w:rsid w:val="00E05B15"/>
    <w:rsid w:val="00E10989"/>
    <w:rsid w:val="00E27C7E"/>
    <w:rsid w:val="00E27C94"/>
    <w:rsid w:val="00E34C4D"/>
    <w:rsid w:val="00E42755"/>
    <w:rsid w:val="00E508A1"/>
    <w:rsid w:val="00E82F30"/>
    <w:rsid w:val="00E906BA"/>
    <w:rsid w:val="00E90E2F"/>
    <w:rsid w:val="00E9190B"/>
    <w:rsid w:val="00EA6329"/>
    <w:rsid w:val="00EB2F67"/>
    <w:rsid w:val="00EB48EC"/>
    <w:rsid w:val="00EB6300"/>
    <w:rsid w:val="00ED5192"/>
    <w:rsid w:val="00ED7AB3"/>
    <w:rsid w:val="00EE1EB4"/>
    <w:rsid w:val="00EE5847"/>
    <w:rsid w:val="00F01D8D"/>
    <w:rsid w:val="00F06E08"/>
    <w:rsid w:val="00F15973"/>
    <w:rsid w:val="00F24A13"/>
    <w:rsid w:val="00F27B4C"/>
    <w:rsid w:val="00F31B54"/>
    <w:rsid w:val="00F32160"/>
    <w:rsid w:val="00F36024"/>
    <w:rsid w:val="00F36226"/>
    <w:rsid w:val="00F3719D"/>
    <w:rsid w:val="00F40947"/>
    <w:rsid w:val="00F52261"/>
    <w:rsid w:val="00F52EEF"/>
    <w:rsid w:val="00F5610F"/>
    <w:rsid w:val="00F62880"/>
    <w:rsid w:val="00F65B7A"/>
    <w:rsid w:val="00F805BC"/>
    <w:rsid w:val="00F8168F"/>
    <w:rsid w:val="00F83C44"/>
    <w:rsid w:val="00F85727"/>
    <w:rsid w:val="00F86151"/>
    <w:rsid w:val="00F93ED4"/>
    <w:rsid w:val="00FA417E"/>
    <w:rsid w:val="00FA78A2"/>
    <w:rsid w:val="00FB0DF3"/>
    <w:rsid w:val="00FC2F1E"/>
    <w:rsid w:val="00FD1A72"/>
    <w:rsid w:val="00FE0000"/>
    <w:rsid w:val="00FE0372"/>
    <w:rsid w:val="00FE0A99"/>
    <w:rsid w:val="00FE3F85"/>
    <w:rsid w:val="00FE7223"/>
    <w:rsid w:val="00FF5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3C66BF"/>
  <w15:chartTrackingRefBased/>
  <w15:docId w15:val="{36043722-B80E-F842-A5C8-0AB365D5D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CF3"/>
  </w:style>
  <w:style w:type="paragraph" w:styleId="Heading1">
    <w:name w:val="heading 1"/>
    <w:basedOn w:val="Normal"/>
    <w:next w:val="Normal"/>
    <w:link w:val="Heading1Char"/>
    <w:uiPriority w:val="9"/>
    <w:qFormat/>
    <w:rsid w:val="00FB0D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0D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D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D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D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D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0D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D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D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D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DF3"/>
    <w:rPr>
      <w:rFonts w:eastAsiaTheme="majorEastAsia" w:cstheme="majorBidi"/>
      <w:color w:val="272727" w:themeColor="text1" w:themeTint="D8"/>
    </w:rPr>
  </w:style>
  <w:style w:type="paragraph" w:styleId="Title">
    <w:name w:val="Title"/>
    <w:basedOn w:val="Normal"/>
    <w:next w:val="Normal"/>
    <w:link w:val="TitleChar"/>
    <w:uiPriority w:val="10"/>
    <w:qFormat/>
    <w:rsid w:val="00FB0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DF3"/>
    <w:pPr>
      <w:spacing w:before="160"/>
      <w:jc w:val="center"/>
    </w:pPr>
    <w:rPr>
      <w:i/>
      <w:iCs/>
      <w:color w:val="404040" w:themeColor="text1" w:themeTint="BF"/>
    </w:rPr>
  </w:style>
  <w:style w:type="character" w:customStyle="1" w:styleId="QuoteChar">
    <w:name w:val="Quote Char"/>
    <w:basedOn w:val="DefaultParagraphFont"/>
    <w:link w:val="Quote"/>
    <w:uiPriority w:val="29"/>
    <w:rsid w:val="00FB0DF3"/>
    <w:rPr>
      <w:i/>
      <w:iCs/>
      <w:color w:val="404040" w:themeColor="text1" w:themeTint="BF"/>
    </w:rPr>
  </w:style>
  <w:style w:type="paragraph" w:styleId="ListParagraph">
    <w:name w:val="List Paragraph"/>
    <w:basedOn w:val="Normal"/>
    <w:uiPriority w:val="34"/>
    <w:qFormat/>
    <w:rsid w:val="00FB0DF3"/>
    <w:pPr>
      <w:ind w:left="720"/>
      <w:contextualSpacing/>
    </w:pPr>
  </w:style>
  <w:style w:type="character" w:styleId="IntenseEmphasis">
    <w:name w:val="Intense Emphasis"/>
    <w:basedOn w:val="DefaultParagraphFont"/>
    <w:uiPriority w:val="21"/>
    <w:qFormat/>
    <w:rsid w:val="00FB0DF3"/>
    <w:rPr>
      <w:i/>
      <w:iCs/>
      <w:color w:val="0F4761" w:themeColor="accent1" w:themeShade="BF"/>
    </w:rPr>
  </w:style>
  <w:style w:type="paragraph" w:styleId="IntenseQuote">
    <w:name w:val="Intense Quote"/>
    <w:basedOn w:val="Normal"/>
    <w:next w:val="Normal"/>
    <w:link w:val="IntenseQuoteChar"/>
    <w:uiPriority w:val="30"/>
    <w:qFormat/>
    <w:rsid w:val="00FB0D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DF3"/>
    <w:rPr>
      <w:i/>
      <w:iCs/>
      <w:color w:val="0F4761" w:themeColor="accent1" w:themeShade="BF"/>
    </w:rPr>
  </w:style>
  <w:style w:type="character" w:styleId="IntenseReference">
    <w:name w:val="Intense Reference"/>
    <w:basedOn w:val="DefaultParagraphFont"/>
    <w:uiPriority w:val="32"/>
    <w:qFormat/>
    <w:rsid w:val="00FB0DF3"/>
    <w:rPr>
      <w:b/>
      <w:bCs/>
      <w:smallCaps/>
      <w:color w:val="0F4761" w:themeColor="accent1" w:themeShade="BF"/>
      <w:spacing w:val="5"/>
    </w:rPr>
  </w:style>
  <w:style w:type="paragraph" w:styleId="NormalWeb">
    <w:name w:val="Normal (Web)"/>
    <w:basedOn w:val="Normal"/>
    <w:uiPriority w:val="99"/>
    <w:semiHidden/>
    <w:unhideWhenUsed/>
    <w:rsid w:val="0055472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55472F"/>
    <w:rPr>
      <w:color w:val="0000FF"/>
      <w:u w:val="single"/>
    </w:rPr>
  </w:style>
  <w:style w:type="character" w:customStyle="1" w:styleId="apple-tab-span">
    <w:name w:val="apple-tab-span"/>
    <w:basedOn w:val="DefaultParagraphFont"/>
    <w:rsid w:val="0055472F"/>
  </w:style>
  <w:style w:type="paragraph" w:styleId="Bibliography">
    <w:name w:val="Bibliography"/>
    <w:basedOn w:val="Normal"/>
    <w:next w:val="Normal"/>
    <w:uiPriority w:val="37"/>
    <w:unhideWhenUsed/>
    <w:rsid w:val="00724F3D"/>
    <w:pPr>
      <w:tabs>
        <w:tab w:val="left" w:pos="260"/>
      </w:tabs>
      <w:spacing w:after="240" w:line="24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6297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10</Pages>
  <Words>7719</Words>
  <Characters>44003</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60</cp:revision>
  <dcterms:created xsi:type="dcterms:W3CDTF">2025-05-16T13:30:00Z</dcterms:created>
  <dcterms:modified xsi:type="dcterms:W3CDTF">2025-05-16T17:26:00Z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id="Yn4Zftqv"/&gt;&lt;style id="http://www.zotero.org/styles/american-medical-association" hasBibliography="1" bibliographyStyleHasBeenSet="1"/&gt;&lt;prefs&gt;&lt;pref name="fieldType" value="Field"/&gt;&lt;/prefs&gt;&lt;/data&gt;</vt:lpwstr>
  </property>
</Properties>
</file>