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figure-captions"/>
    <w:p>
      <w:pPr>
        <w:pStyle w:val="Heading1"/>
      </w:pPr>
      <w:r>
        <w:t xml:space="preserve">Figure Captions</w:t>
      </w:r>
    </w:p>
    <w:bookmarkStart w:id="9" w:name="X51e76dea61440b29b78ced9561bbdf13940b8b0"/>
    <w:p>
      <w:pPr>
        <w:pStyle w:val="Heading2"/>
      </w:pPr>
      <w:r>
        <w:t xml:space="preserve">Computers in Biology and Medicine Submission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1.</w:t>
      </w:r>
      <w:r>
        <w:t xml:space="preserve"> </w:t>
      </w:r>
      <w:r>
        <w:t xml:space="preserve">Feature correlation matrix for the child dataset, showing moderate-to-high correlations among AQ-10 behavioral items (A1-A10).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EVO-XAI framework architecture showing the three-stage feature selection pipeline: Stage 1 (Chi-square filtering), Stage 2 (VIF-based multicollinearity detection), and Stage 3 (Evolutionary optimization).</w:t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MCC performance across VIF thresholds (5-13) for all three evolutionary algorithms and datasets. NSGA-II at VIF=13 achieves peak performance for adolescent data.</w:t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Comparative performance of evolutionary algorithms (NSGA-II, DE, Hybrid PSO+DE) across evaluation metrics (MCC, Sensitivity, Specificity) at VIF=13. Error bars represent standard deviation from 5-fold cross-validation.</w:t>
      </w:r>
    </w:p>
    <w:p>
      <w:pPr>
        <w:pStyle w:val="BodyText"/>
      </w:pPr>
      <w:r>
        <w:rPr>
          <w:b/>
          <w:bCs/>
        </w:rPr>
        <w:t xml:space="preserve">Figure 5.</w:t>
      </w:r>
      <w:r>
        <w:t xml:space="preserve"> </w:t>
      </w:r>
      <w:r>
        <w:t xml:space="preserve">SHAP-based feature importance analysis mapping selected features to DSM-5 diagnostic domains. Colors indicate DSM-5 criterion categories: Social Communication (blue), Relationships (green), Stereotyped Behaviors (red), Sensory (orange), Restricted Interests (purple).</w:t>
      </w:r>
    </w:p>
    <w:p>
      <w:pPr>
        <w:pStyle w:val="BodyText"/>
      </w:pPr>
      <w:r>
        <w:rPr>
          <w:b/>
          <w:bCs/>
        </w:rPr>
        <w:t xml:space="preserve">Figure 6.</w:t>
      </w:r>
      <w:r>
        <w:t xml:space="preserve"> </w:t>
      </w:r>
      <w:r>
        <w:t xml:space="preserve">Model robustness under Gaussian noise injection (σ = 0.05 to 0.20). All datasets retain &gt;83% baseline MCC at σ=0.20, demonstrating stability against input perturbations.</w:t>
      </w:r>
    </w:p>
    <w:p>
      <w:pPr>
        <w:pStyle w:val="BodyText"/>
      </w:pPr>
      <w:r>
        <w:rPr>
          <w:b/>
          <w:bCs/>
        </w:rPr>
        <w:t xml:space="preserve">Figure 7.</w:t>
      </w:r>
      <w:r>
        <w:t xml:space="preserve"> </w:t>
      </w:r>
      <w:r>
        <w:t xml:space="preserve">Classifier comparison showing MCC and AUC performance across six machine learning algorithms. The stacking ensemble with evolutionary feature selection achieves competitive performance with enhanced interpretability.</w:t>
      </w:r>
    </w:p>
    <w:p>
      <w:pPr>
        <w:pStyle w:val="BodyText"/>
      </w:pPr>
      <w:r>
        <w:rPr>
          <w:b/>
          <w:bCs/>
        </w:rPr>
        <w:t xml:space="preserve">Figure 8.</w:t>
      </w:r>
      <w:r>
        <w:t xml:space="preserve"> </w:t>
      </w:r>
      <w:r>
        <w:t xml:space="preserve">Decision Curve Analysis showing net benefit across probability thresholds for EVO-XAI screening model compared to treat-all and treat-none strategies. The model provides clinical utility across the 10-40% threshold range.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Note: All figures are supplied as separate PNG files at 300 DPI resolution.</w:t>
      </w:r>
      <w:r>
        <w:t xml:space="preserve"> </w:t>
      </w:r>
      <w:r>
        <w:rPr>
          <w:i/>
          <w:iCs/>
        </w:rPr>
        <w:t xml:space="preserve">Files are named according to journal requirements: Figure_1.png through Figure_8.png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2026-01-25T10:33:28Z</dcterms:created>
  <dcterms:modified xsi:type="dcterms:W3CDTF">2026-01-25T10:33:28Z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