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19"/>
          <w:spacing w:val="40"/>
        </w:rPr>
        <w:t>PROJECT TETON</w:t>
      </w:r>
    </w:p>
    <w:p>
      <w:pPr>
        <w:spacing w:after="120"/>
        <w:pBdr>
          <w:bottom w:val="single" w:sz="8" w:space="6" w:color="8AA6C6"/>
        </w:pBdr>
      </w:pPr>
      <w:r>
        <w:rPr>
          <w:b/>
          <w:color w:val="1F3A5F"/>
          <w:sz w:val="36"/>
        </w:rPr>
        <w:t>TCN AI: Real, or Slides?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824"/>
          </w:tcPr>
          <w:p>
            <w:pPr>
              <w:spacing w:after="20"/>
            </w:pPr>
            <w:r>
              <w:rPr>
                <w:b/>
                <w:color w:val="5C6672"/>
                <w:sz w:val="18"/>
              </w:rPr>
              <w:t>TO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b/>
                <w:color w:val="1B2430"/>
                <w:sz w:val="20"/>
              </w:rPr>
              <w:t>Benefit Street Partners, Investment Committee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b/>
                <w:color w:val="5C6672"/>
                <w:sz w:val="18"/>
              </w:rPr>
              <w:t>FROM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b/>
                <w:color w:val="1B2430"/>
                <w:sz w:val="20"/>
              </w:rPr>
              <w:t>K. Slowinski, Independent AI &amp; Technology Advisor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b/>
                <w:color w:val="5C6672"/>
                <w:sz w:val="18"/>
              </w:rPr>
              <w:t>RE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b/>
                <w:color w:val="1B2430"/>
                <w:sz w:val="20"/>
              </w:rPr>
              <w:t>TCN (Project Teton): lender view of the AI story</w:t>
            </w:r>
          </w:p>
        </w:tc>
      </w:tr>
      <w:tr>
        <w:tc>
          <w:tcPr>
            <w:tcW w:type="dxa" w:w="4824"/>
          </w:tcPr>
          <w:p>
            <w:pPr>
              <w:spacing w:after="20"/>
            </w:pPr>
            <w:r>
              <w:rPr>
                <w:b/>
                <w:color w:val="5C6672"/>
                <w:sz w:val="18"/>
              </w:rPr>
              <w:t>DATE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b/>
                <w:color w:val="1B2430"/>
                <w:sz w:val="20"/>
              </w:rPr>
              <w:t>June 2026  ·  Strictly Private &amp; Confidential</w:t>
            </w:r>
          </w:p>
        </w:tc>
      </w:tr>
    </w:tbl>
    <w:p>
      <w:pPr>
        <w:spacing w:before="120" w:after="0"/>
        <w:shd w:val="clear" w:fill="F5F7FA"/>
        <w:pBdr>
          <w:top w:val="single" w:sz="4" w:space="6" w:color="1F3A5F"/>
          <w:left w:val="single" w:sz="4" w:space="6" w:color="1F3A5F"/>
          <w:right w:val="single" w:sz="4" w:space="6" w:color="1F3A5F"/>
        </w:pBdr>
      </w:pPr>
      <w:r>
        <w:rPr>
          <w:b/>
          <w:color w:val="1F3A5F"/>
          <w:sz w:val="18"/>
        </w:rPr>
        <w:t>MY TAKE</w:t>
      </w:r>
    </w:p>
    <w:p>
      <w:pPr>
        <w:spacing w:before="0" w:after="120"/>
        <w:shd w:val="clear" w:fill="F5F7FA"/>
        <w:pBdr>
          <w:bottom w:val="single" w:sz="4" w:space="6" w:color="1F3A5F"/>
          <w:left w:val="single" w:sz="4" w:space="6" w:color="1F3A5F"/>
          <w:right w:val="single" w:sz="4" w:space="6" w:color="1F3A5F"/>
        </w:pBdr>
      </w:pPr>
      <w:r>
        <w:rPr>
          <w:rFonts w:ascii="Calibri" w:hAnsi="Calibri"/>
          <w:color w:val="1B2430"/>
          <w:sz w:val="22"/>
        </w:rPr>
        <w:t xml:space="preserve">TCN is a solid calling platform. It has no AI moat, and it's behind on AI. The “AI + compliance moat” the CIP and the Palo Alto VDD are selling is mostly slides. Their AI agents had </w:t>
      </w:r>
      <w:r>
        <w:rPr>
          <w:rFonts w:ascii="Calibri" w:hAnsi="Calibri"/>
          <w:b/>
          <w:color w:val="1B2430"/>
          <w:sz w:val="22"/>
        </w:rPr>
        <w:t>0 customers and $0 revenue at the end of 2025</w:t>
      </w:r>
      <w:r>
        <w:rPr>
          <w:rFonts w:ascii="Calibri" w:hAnsi="Calibri"/>
          <w:color w:val="1B2430"/>
          <w:sz w:val="22"/>
        </w:rPr>
        <w:t xml:space="preserve"> (first customer April 2026). Underwrite the loan on the existing calling business. The AI story is slideware; don't credit it. And I'd flag them as at risk of AI headwinds, because they are far behind today.</w:t>
      </w:r>
    </w:p>
    <w:p>
      <w:pPr>
        <w:spacing w:before="200" w:after="80"/>
        <w:pBdr>
          <w:bottom w:val="single" w:sz="6" w:space="6" w:color="D5DBE3"/>
        </w:pBdr>
      </w:pPr>
      <w:r>
        <w:rPr>
          <w:b/>
          <w:color w:val="1F3A5F"/>
          <w:sz w:val="21"/>
          <w:spacing w:val="20"/>
        </w:rPr>
        <w:t>WHAT'S REAL (UNDERWRITE THIS)</w:t>
      </w:r>
    </w:p>
    <w:p>
      <w:pPr>
        <w:pStyle w:val="ListBullet"/>
        <w:spacing w:after="80"/>
      </w:pPr>
      <w:r>
        <w:rPr>
          <w:rFonts w:ascii="Calibri" w:hAnsi="Calibri"/>
          <w:b/>
          <w:color w:val="1B2430"/>
          <w:sz w:val="21"/>
        </w:rPr>
        <w:t>~$60M ARR, ~37% 2026E growth, ~20-24% EBITDA.</w:t>
      </w:r>
      <w:r>
        <w:rPr>
          <w:rFonts w:ascii="Calibri" w:hAnsi="Calibri"/>
          <w:color w:val="1B2430"/>
          <w:sz w:val="21"/>
        </w:rPr>
        <w:t xml:space="preserve"> Bootstrapped, clears Rule of 40. (Their “Rule of 60” is a 2026 projection, not a trailing number.) This is a good business.</w:t>
      </w:r>
    </w:p>
    <w:p>
      <w:pPr>
        <w:pStyle w:val="ListBullet"/>
        <w:spacing w:after="80"/>
      </w:pPr>
      <w:r>
        <w:rPr>
          <w:rFonts w:ascii="Calibri" w:hAnsi="Calibri"/>
          <w:color w:val="1B2430"/>
          <w:sz w:val="21"/>
        </w:rPr>
        <w:t>Sticky-ish. ~98% logo retention and a dialer that's hard to rip out. But they also report 81% gross revenue retention, and those two numbers don't fit together in my head. That's a management question.</w:t>
      </w:r>
    </w:p>
    <w:p>
      <w:pPr>
        <w:pStyle w:val="ListBullet"/>
        <w:spacing w:after="80"/>
      </w:pPr>
      <w:r>
        <w:rPr>
          <w:rFonts w:ascii="Calibri" w:hAnsi="Calibri"/>
          <w:b/>
          <w:color w:val="1B2430"/>
          <w:sz w:val="21"/>
        </w:rPr>
        <w:t>Consumption pricing, confirmed in their CIP.</w:t>
      </w:r>
      <w:r>
        <w:rPr>
          <w:rFonts w:ascii="Calibri" w:hAnsi="Calibri"/>
          <w:color w:val="1B2430"/>
          <w:sz w:val="21"/>
        </w:rPr>
        <w:t xml:space="preserve"> Nearly everything is billed per minute or per message, and their AI Voice is priced at $0.20-0.50/min vs ~$0.05 for a human call. So the AI plan is literally trading phone minutes for AI-agent minutes at 4-10x. If the call stays on their pipes they make more per minute. If it leaves, they make nothing.</w:t>
      </w:r>
    </w:p>
    <w:p>
      <w:pPr>
        <w:spacing w:before="200" w:after="80"/>
        <w:pBdr>
          <w:bottom w:val="single" w:sz="6" w:space="6" w:color="D5DBE3"/>
        </w:pBdr>
      </w:pPr>
      <w:r>
        <w:rPr>
          <w:b/>
          <w:color w:val="1F3A5F"/>
          <w:sz w:val="21"/>
          <w:spacing w:val="20"/>
        </w:rPr>
        <w:t>WHAT'S HYPE (DON'T LEND AGAINST IT)</w:t>
      </w:r>
    </w:p>
    <w:p>
      <w:pPr>
        <w:pStyle w:val="ListBullet"/>
        <w:spacing w:after="80"/>
      </w:pPr>
      <w:r>
        <w:rPr>
          <w:rFonts w:ascii="Calibri" w:hAnsi="Calibri"/>
          <w:b/>
          <w:color w:val="1B2430"/>
          <w:sz w:val="21"/>
        </w:rPr>
        <w:t>The “AI moat” is slides.</w:t>
      </w:r>
      <w:r>
        <w:rPr>
          <w:rFonts w:ascii="Calibri" w:hAnsi="Calibri"/>
          <w:color w:val="1B2430"/>
          <w:sz w:val="21"/>
        </w:rPr>
        <w:t xml:space="preserve"> Agentic AI had </w:t>
      </w:r>
      <w:r>
        <w:rPr>
          <w:rFonts w:ascii="Calibri" w:hAnsi="Calibri"/>
          <w:b/>
          <w:color w:val="1B2430"/>
          <w:sz w:val="21"/>
        </w:rPr>
        <w:t>0 customers and $0</w:t>
      </w:r>
      <w:r>
        <w:rPr>
          <w:rFonts w:ascii="Calibri" w:hAnsi="Calibri"/>
          <w:color w:val="1B2430"/>
          <w:sz w:val="21"/>
        </w:rPr>
        <w:t xml:space="preserve"> at end-2025 (first customer April 2026, ~$1M </w:t>
      </w:r>
      <w:r>
        <w:rPr>
          <w:rFonts w:ascii="Calibri" w:hAnsi="Calibri"/>
          <w:i/>
          <w:color w:val="1B2430"/>
          <w:sz w:val="21"/>
        </w:rPr>
        <w:t>planned</w:t>
      </w:r>
      <w:r>
        <w:rPr>
          <w:rFonts w:ascii="Calibri" w:hAnsi="Calibri"/>
          <w:color w:val="1B2430"/>
          <w:sz w:val="21"/>
        </w:rPr>
        <w:t xml:space="preserve"> for the year). They own one real in-house model, SmartAMD, and it just detects answering machines. The rest of the AI is rented (GPT, Gemini, Whisper).</w:t>
      </w:r>
    </w:p>
    <w:p>
      <w:pPr>
        <w:pStyle w:val="ListBullet"/>
        <w:spacing w:after="80"/>
      </w:pPr>
      <w:r>
        <w:rPr>
          <w:rFonts w:ascii="Calibri" w:hAnsi="Calibri"/>
          <w:b/>
          <w:color w:val="1B2430"/>
          <w:sz w:val="21"/>
        </w:rPr>
        <w:t>They're behind, and the new players are built differently.</w:t>
      </w:r>
      <w:r>
        <w:rPr>
          <w:rFonts w:ascii="Calibri" w:hAnsi="Calibri"/>
          <w:color w:val="1B2430"/>
          <w:sz w:val="21"/>
        </w:rPr>
        <w:t xml:space="preserve"> Decagon, Sierra and Skit.ai are agent-first. TCN is bolting bots onto a dialer.</w:t>
      </w:r>
    </w:p>
    <w:p>
      <w:pPr>
        <w:pStyle w:val="ListBullet"/>
        <w:spacing w:after="80"/>
      </w:pPr>
      <w:r>
        <w:rPr>
          <w:rFonts w:ascii="Calibri" w:hAnsi="Calibri"/>
          <w:b/>
          <w:color w:val="1B2430"/>
          <w:sz w:val="21"/>
        </w:rPr>
        <w:t>The “compliance moat” is table stakes.</w:t>
      </w:r>
      <w:r>
        <w:rPr>
          <w:rFonts w:ascii="Calibri" w:hAnsi="Calibri"/>
          <w:color w:val="1B2430"/>
          <w:sz w:val="21"/>
        </w:rPr>
        <w:t xml:space="preserve"> Everyone sells it: LiveVox, Five9, Convoso, and AI-native Skit.ai. You can buy it off the shelf (DNC.com, Gryphon). TCN's compliance depth is a real but modest edge, and it's a vertical/legal edge, not an AI one.</w:t>
      </w:r>
    </w:p>
    <w:p>
      <w:pPr>
        <w:pStyle w:val="ListBullet"/>
        <w:spacing w:after="80"/>
      </w:pPr>
      <w:r>
        <w:rPr>
          <w:rFonts w:ascii="Calibri" w:hAnsi="Calibri"/>
          <w:color w:val="1B2430"/>
          <w:sz w:val="21"/>
        </w:rPr>
        <w:t>The Palo Alto VDD rates almost every finding a perfect score. That's a second sales deck, not diligence.</w:t>
      </w:r>
    </w:p>
    <w:p>
      <w:pPr>
        <w:pStyle w:val="ListBullet"/>
        <w:spacing w:after="80"/>
      </w:pPr>
      <w:r>
        <w:rPr>
          <w:rFonts w:ascii="Calibri" w:hAnsi="Calibri"/>
          <w:b/>
          <w:color w:val="1B2430"/>
          <w:sz w:val="21"/>
        </w:rPr>
        <w:t>The AI won't set itself up.</w:t>
      </w:r>
      <w:r>
        <w:rPr>
          <w:rFonts w:ascii="Calibri" w:hAnsi="Calibri"/>
          <w:color w:val="1B2430"/>
          <w:sz w:val="21"/>
        </w:rPr>
        <w:t xml:space="preserve"> Standing up agents takes forward-deployed engineering. Sierra and Decagon charge $50-200K and take 8-16 weeks. TCN's mid-market shops can't configure this alone, and TCN runs lean on services. So AI revenue is services-gated, not clean SaaS.</w:t>
      </w:r>
    </w:p>
    <w:p>
      <w:pPr>
        <w:spacing w:before="120" w:after="0"/>
        <w:shd w:val="clear" w:fill="F5F7FA"/>
        <w:pBdr>
          <w:top w:val="single" w:sz="4" w:space="6" w:color="1F3A5F"/>
          <w:left w:val="single" w:sz="4" w:space="6" w:color="1F3A5F"/>
          <w:right w:val="single" w:sz="4" w:space="6" w:color="1F3A5F"/>
        </w:pBdr>
      </w:pPr>
      <w:r>
        <w:rPr>
          <w:b/>
          <w:color w:val="1F3A5F"/>
          <w:sz w:val="18"/>
        </w:rPr>
        <w:t>THE REAL RISK</w:t>
      </w:r>
    </w:p>
    <w:p>
      <w:pPr>
        <w:spacing w:before="0" w:after="120"/>
        <w:shd w:val="clear" w:fill="F5F7FA"/>
        <w:pBdr>
          <w:bottom w:val="single" w:sz="4" w:space="6" w:color="1F3A5F"/>
          <w:left w:val="single" w:sz="4" w:space="6" w:color="1F3A5F"/>
          <w:right w:val="single" w:sz="4" w:space="6" w:color="1F3A5F"/>
        </w:pBdr>
      </w:pPr>
      <w:r>
        <w:rPr>
          <w:rFonts w:ascii="Calibri" w:hAnsi="Calibri"/>
          <w:color w:val="1B2430"/>
          <w:sz w:val="22"/>
        </w:rPr>
        <w:t xml:space="preserve">The new AI players can be the phone line themselves. This is already happening. Skit.ai already sells </w:t>
      </w:r>
      <w:r>
        <w:rPr>
          <w:rFonts w:ascii="Calibri" w:hAnsi="Calibri"/>
          <w:b/>
          <w:color w:val="1B2430"/>
          <w:sz w:val="22"/>
        </w:rPr>
        <w:t>its own telephony</w:t>
      </w:r>
      <w:r>
        <w:rPr>
          <w:rFonts w:ascii="Calibri" w:hAnsi="Calibri"/>
          <w:color w:val="1B2430"/>
          <w:sz w:val="22"/>
        </w:rPr>
        <w:t xml:space="preserve"> and runs the whole collections call today. If a customer points one of them at their numbers, TCN is just pipes. Nobody has stress-tested this, and it's the question I'd want answered first.</w:t>
      </w:r>
    </w:p>
    <w:p>
      <w:pPr>
        <w:spacing w:before="200" w:after="80"/>
        <w:pBdr>
          <w:bottom w:val="single" w:sz="6" w:space="6" w:color="D5DBE3"/>
        </w:pBdr>
      </w:pPr>
      <w:r>
        <w:rPr>
          <w:b/>
          <w:color w:val="1F3A5F"/>
          <w:sz w:val="21"/>
          <w:spacing w:val="20"/>
        </w:rPr>
        <w:t>WHAT I'D DO</w:t>
      </w:r>
    </w:p>
    <w:p>
      <w:pPr>
        <w:pStyle w:val="ListBullet"/>
        <w:spacing w:after="80"/>
      </w:pPr>
      <w:r>
        <w:rPr>
          <w:rFonts w:ascii="Calibri" w:hAnsi="Calibri"/>
          <w:color w:val="1B2430"/>
          <w:sz w:val="21"/>
        </w:rPr>
        <w:t>Underwrite the existing business, not the future one: switching costs, consumption pricing, last independent standing after LiveVox went to NICE. Everything past that is slideware.</w:t>
      </w:r>
    </w:p>
    <w:p>
      <w:pPr>
        <w:pStyle w:val="ListBullet"/>
        <w:spacing w:after="80"/>
      </w:pPr>
      <w:r>
        <w:rPr>
          <w:rFonts w:ascii="Calibri" w:hAnsi="Calibri"/>
          <w:b/>
          <w:color w:val="1B2430"/>
          <w:sz w:val="21"/>
        </w:rPr>
        <w:t>Treat AI as a headwind on this credit, not upside.</w:t>
      </w:r>
      <w:r>
        <w:rPr>
          <w:rFonts w:ascii="Calibri" w:hAnsi="Calibri"/>
          <w:color w:val="1B2430"/>
          <w:sz w:val="21"/>
        </w:rPr>
        <w:t xml:space="preserve"> They're far behind, and the AI-natives can pull call volume out of the base during the loan term. Monitor dial-path volume and AI-native displacement. One question decides it: </w:t>
      </w:r>
      <w:r>
        <w:rPr>
          <w:rFonts w:ascii="Calibri" w:hAnsi="Calibri"/>
          <w:i/>
          <w:color w:val="1B2430"/>
          <w:sz w:val="21"/>
        </w:rPr>
        <w:t>do they stay in the call path when AI agents replace the seats?</w:t>
      </w:r>
    </w:p>
    <w:p>
      <w:pPr>
        <w:pBdr>
          <w:top w:val="single" w:sz="6" w:space="6" w:color="D5DBE3"/>
        </w:pBdr>
        <w:spacing w:before="160"/>
      </w:pPr>
      <w:r>
        <w:rPr>
          <w:b/>
          <w:color w:val="1B2430"/>
          <w:sz w:val="21"/>
        </w:rPr>
        <w:t>K. Slowinski</w:t>
      </w:r>
      <w:r>
        <w:rPr>
          <w:color w:val="5C6672"/>
          <w:sz w:val="19"/>
        </w:rPr>
        <w:br/>
        <w:t>Independent AI &amp; Technology Advisor</w:t>
      </w:r>
    </w:p>
    <w:p>
      <w:pPr>
        <w:spacing w:before="160"/>
      </w:pPr>
      <w:r>
        <w:rPr>
          <w:color w:val="9AA4B2"/>
          <w:sz w:val="16"/>
        </w:rPr>
        <w:t>Prepared for Benefit Street Partners. Based on the Project Teton CIP, the Palo Alto Strategy Group Commercial VDD, competitor public materials, and independent technical analysis. Figures per CIP/management, unaudited. Not investment advice. Confidential, do not distribute.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