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19"/>
          <w:spacing w:val="40"/>
        </w:rPr>
        <w:t>PROJECT TETON</w:t>
      </w:r>
    </w:p>
    <w:p>
      <w:pPr>
        <w:spacing w:after="120"/>
        <w:pBdr>
          <w:bottom w:val="single" w:sz="8" w:space="6" w:color="8AA6C6"/>
        </w:pBdr>
      </w:pPr>
      <w:r>
        <w:rPr>
          <w:b/>
          <w:color w:val="1F3A5F"/>
          <w:sz w:val="36"/>
        </w:rPr>
        <w:t>AI &amp; Technology Moat — Signal vs. Sell-Side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96"/>
        <w:gridCol w:w="8064"/>
      </w:tblGrid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TO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Benefit Street Partners — Investment Committee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FROM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K. Slowinski — Independent AI &amp; Technology Advisor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RE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TCN (Project Teton): does the AI constitute a real moat?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5C6672"/>
                <w:sz w:val="18"/>
              </w:rPr>
              <w:t>DATE</w:t>
            </w:r>
          </w:p>
        </w:tc>
        <w:tc>
          <w:tcPr>
            <w:tcW w:type="dxa" w:w="4824"/>
          </w:tcPr>
          <w:p>
            <w:pPr>
              <w:spacing w:after="20"/>
            </w:pPr>
            <w:r>
              <w:rPr>
                <w:b/>
                <w:color w:val="1B2430"/>
                <w:sz w:val="20"/>
              </w:rPr>
              <w:t>June 2026  ·  Strictly Private &amp; Confidential</w:t>
            </w:r>
          </w:p>
        </w:tc>
      </w:tr>
    </w:tbl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b/>
          <w:color w:val="1F3A5F"/>
          <w:sz w:val="18"/>
        </w:rPr>
        <w:t>BOTTOM LINE UP FRONT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TCN is a </w:t>
      </w:r>
      <w:r>
        <w:rPr>
          <w:rFonts w:ascii="Calibri" w:hAnsi="Calibri"/>
          <w:b/>
          <w:color w:val="1B2430"/>
          <w:sz w:val="22"/>
        </w:rPr>
        <w:t>solid calling platform with no AI moat</w:t>
      </w:r>
      <w:r>
        <w:rPr>
          <w:rFonts w:ascii="Calibri" w:hAnsi="Calibri"/>
          <w:color w:val="1B2430"/>
          <w:sz w:val="22"/>
        </w:rPr>
        <w:t xml:space="preserve"> — and it is </w:t>
      </w:r>
      <w:r>
        <w:rPr>
          <w:rFonts w:ascii="Calibri" w:hAnsi="Calibri"/>
          <w:b/>
          <w:color w:val="1B2430"/>
          <w:sz w:val="22"/>
        </w:rPr>
        <w:t>behind</w:t>
      </w:r>
      <w:r>
        <w:rPr>
          <w:rFonts w:ascii="Calibri" w:hAnsi="Calibri"/>
          <w:color w:val="1B2430"/>
          <w:sz w:val="22"/>
        </w:rPr>
        <w:t xml:space="preserve"> on AI. The "AI + compliance moat" the CIP and Palo Alto VDD sell is largely slides: agentic AI had </w:t>
      </w:r>
      <w:r>
        <w:rPr>
          <w:rFonts w:ascii="Calibri" w:hAnsi="Calibri"/>
          <w:b/>
          <w:color w:val="1B2430"/>
          <w:sz w:val="22"/>
        </w:rPr>
        <w:t>0 customers and $0 revenue at end-2025</w:t>
      </w:r>
      <w:r>
        <w:rPr>
          <w:rFonts w:ascii="Calibri" w:hAnsi="Calibri"/>
          <w:color w:val="1B2430"/>
          <w:sz w:val="22"/>
        </w:rPr>
        <w:t xml:space="preserve"> (first customer April 2026). Fund the franchise; price the AI as an option, not a fact.</w:t>
      </w:r>
    </w:p>
    <w:p>
      <w:pPr>
        <w:spacing w:before="200" w:after="80"/>
        <w:pBdr>
          <w:bottom w:val="single" w:sz="6" w:space="6" w:color="D5DBE3"/>
        </w:pBdr>
      </w:pPr>
      <w:r>
        <w:rPr>
          <w:rFonts w:ascii="Calibri" w:hAnsi="Calibri"/>
          <w:b/>
          <w:color w:val="1F3A5F"/>
          <w:sz w:val="21"/>
          <w:spacing w:val="20"/>
        </w:rPr>
        <w:t>WHAT'S REAL — FUND THIS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~$60M ARR, ~37% 2026E growth, ~20–24% EBITDA</w:t>
      </w:r>
      <w:r>
        <w:rPr>
          <w:rFonts w:ascii="Calibri" w:hAnsi="Calibri"/>
          <w:color w:val="1B2430"/>
          <w:sz w:val="21"/>
        </w:rPr>
        <w:t xml:space="preserve"> — a bootstrapped Rule-of-60. Genuinely attractive.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>Sticky: ~98% logo retention and deep outbound-dialer switching costs.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Consumption pricing</w:t>
      </w:r>
      <w:r>
        <w:rPr>
          <w:rFonts w:ascii="Calibri" w:hAnsi="Calibri"/>
          <w:color w:val="1B2430"/>
          <w:sz w:val="21"/>
        </w:rPr>
        <w:t xml:space="preserve"> (not per-seat) — well-positioned to monetize AI usage </w:t>
      </w:r>
      <w:r>
        <w:rPr>
          <w:rFonts w:ascii="Calibri" w:hAnsi="Calibri"/>
          <w:i/>
          <w:color w:val="1B2430"/>
          <w:sz w:val="21"/>
        </w:rPr>
        <w:t>without</w:t>
      </w:r>
      <w:r>
        <w:rPr>
          <w:rFonts w:ascii="Calibri" w:hAnsi="Calibri"/>
          <w:color w:val="1B2430"/>
          <w:sz w:val="21"/>
        </w:rPr>
        <w:t xml:space="preserve"> cannibalizing itself. The single best part of the story.</w:t>
      </w:r>
    </w:p>
    <w:p>
      <w:pPr>
        <w:spacing w:before="200" w:after="80"/>
        <w:pBdr>
          <w:bottom w:val="single" w:sz="6" w:space="6" w:color="D5DBE3"/>
        </w:pBdr>
      </w:pPr>
      <w:r>
        <w:rPr>
          <w:rFonts w:ascii="Calibri" w:hAnsi="Calibri"/>
          <w:b/>
          <w:color w:val="1F3A5F"/>
          <w:sz w:val="21"/>
          <w:spacing w:val="20"/>
        </w:rPr>
        <w:t>WHAT'S HYPE — DON'T PAY FOR IT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"AI moat" = slides, not traction.</w:t>
      </w:r>
      <w:r>
        <w:rPr>
          <w:rFonts w:ascii="Calibri" w:hAnsi="Calibri"/>
          <w:color w:val="1B2430"/>
          <w:sz w:val="21"/>
        </w:rPr>
        <w:t xml:space="preserve"> Agentic AI had </w:t>
      </w:r>
      <w:r>
        <w:rPr>
          <w:rFonts w:ascii="Calibri" w:hAnsi="Calibri"/>
          <w:b/>
          <w:color w:val="1B2430"/>
          <w:sz w:val="21"/>
        </w:rPr>
        <w:t>0 customers / $0</w:t>
      </w:r>
      <w:r>
        <w:rPr>
          <w:rFonts w:ascii="Calibri" w:hAnsi="Calibri"/>
          <w:color w:val="1B2430"/>
          <w:sz w:val="21"/>
        </w:rPr>
        <w:t xml:space="preserve"> at end-2025 (first customer April 2026; ~$1M </w:t>
      </w:r>
      <w:r>
        <w:rPr>
          <w:rFonts w:ascii="Calibri" w:hAnsi="Calibri"/>
          <w:i/>
          <w:color w:val="1B2430"/>
          <w:sz w:val="21"/>
        </w:rPr>
        <w:t>planned</w:t>
      </w:r>
      <w:r>
        <w:rPr>
          <w:rFonts w:ascii="Calibri" w:hAnsi="Calibri"/>
          <w:color w:val="1B2430"/>
          <w:sz w:val="21"/>
        </w:rPr>
        <w:t xml:space="preserve"> for 2026E). One in-production proprietary model (SmartAMD, an answering-machine detector); the generative AI is rented (GPT / Gemini / Whisper).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Behind, and the disruptors are built differently.</w:t>
      </w:r>
      <w:r>
        <w:rPr>
          <w:rFonts w:ascii="Calibri" w:hAnsi="Calibri"/>
          <w:color w:val="1B2430"/>
          <w:sz w:val="21"/>
        </w:rPr>
        <w:t xml:space="preserve"> AI-native players (Decagon, Sierra, Skit.ai) are agent-first on different economics; TCN is a fast-follower bolting AI onto a dialer.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"Compliance moat."</w:t>
      </w:r>
      <w:r>
        <w:rPr>
          <w:rFonts w:ascii="Calibri" w:hAnsi="Calibri"/>
          <w:color w:val="1B2430"/>
          <w:sz w:val="21"/>
        </w:rPr>
        <w:t xml:space="preserve"> Compliance </w:t>
      </w:r>
      <w:r>
        <w:rPr>
          <w:rFonts w:ascii="Calibri" w:hAnsi="Calibri"/>
          <w:i/>
          <w:color w:val="1B2430"/>
          <w:sz w:val="21"/>
        </w:rPr>
        <w:t>marketing</w:t>
      </w:r>
      <w:r>
        <w:rPr>
          <w:rFonts w:ascii="Calibri" w:hAnsi="Calibri"/>
          <w:color w:val="1B2430"/>
          <w:sz w:val="21"/>
        </w:rPr>
        <w:t xml:space="preserve"> is table stakes — LiveVox, Five9, Convoso and AI-native Skit.ai all sell it; buyable à la carte (DNC.com, Gryphon). Compliance </w:t>
      </w:r>
      <w:r>
        <w:rPr>
          <w:rFonts w:ascii="Calibri" w:hAnsi="Calibri"/>
          <w:i/>
          <w:color w:val="1B2430"/>
          <w:sz w:val="21"/>
        </w:rPr>
        <w:t>depth</w:t>
      </w:r>
      <w:r>
        <w:rPr>
          <w:rFonts w:ascii="Calibri" w:hAnsi="Calibri"/>
          <w:color w:val="1B2430"/>
          <w:sz w:val="21"/>
        </w:rPr>
        <w:t xml:space="preserve"> (court-tested audit records) is a modest vertical/legal edge — not an AI one, and eroding as AI-natives go compliance-native.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 xml:space="preserve">The Palo Alto VDD grades </w:t>
      </w:r>
      <w:r>
        <w:rPr>
          <w:rFonts w:ascii="Calibri" w:hAnsi="Calibri"/>
          <w:b/>
          <w:color w:val="1B2430"/>
          <w:sz w:val="21"/>
        </w:rPr>
        <w:t>nearly every finding maximum-positive</w:t>
      </w:r>
      <w:r>
        <w:rPr>
          <w:rFonts w:ascii="Calibri" w:hAnsi="Calibri"/>
          <w:color w:val="1B2430"/>
          <w:sz w:val="21"/>
        </w:rPr>
        <w:t xml:space="preserve"> — a second marketing deck, not independent diligence.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The AI won't deploy itself.</w:t>
      </w:r>
      <w:r>
        <w:rPr>
          <w:rFonts w:ascii="Calibri" w:hAnsi="Calibri"/>
          <w:color w:val="1B2430"/>
          <w:sz w:val="21"/>
        </w:rPr>
        <w:t xml:space="preserve"> Agentic collections needs forward-deployed engineering — the Sierra/Decagon norm is $50–200K and 8–16 weeks to a live agent. TCN's mid-market buyers can't self-configure it and TCN runs lean on services, so AI-agent revenue is </w:t>
      </w:r>
      <w:r>
        <w:rPr>
          <w:rFonts w:ascii="Calibri" w:hAnsi="Calibri"/>
          <w:b/>
          <w:color w:val="1B2430"/>
          <w:sz w:val="21"/>
        </w:rPr>
        <w:t>services-gated</w:t>
      </w:r>
      <w:r>
        <w:rPr>
          <w:rFonts w:ascii="Calibri" w:hAnsi="Calibri"/>
          <w:color w:val="1B2430"/>
          <w:sz w:val="21"/>
        </w:rPr>
        <w:t>, not the self-serve SaaS the plan implies.</w:t>
      </w:r>
    </w:p>
    <w:p>
      <w:pPr>
        <w:spacing w:before="120" w:after="0"/>
        <w:shd w:val="clear" w:fill="F5F7FA"/>
        <w:pBdr>
          <w:top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b/>
          <w:color w:val="1F3A5F"/>
          <w:sz w:val="18"/>
        </w:rPr>
        <w:t>THE RISK NOBODY PRICED</w:t>
      </w:r>
    </w:p>
    <w:p>
      <w:pPr>
        <w:spacing w:before="0" w:after="120"/>
        <w:shd w:val="clear" w:fill="F5F7FA"/>
        <w:pBdr>
          <w:bottom w:val="single" w:sz="4" w:space="6" w:color="1F3A5F"/>
          <w:left w:val="single" w:sz="4" w:space="6" w:color="1F3A5F"/>
          <w:right w:val="single" w:sz="4" w:space="6" w:color="1F3A5F"/>
        </w:pBdr>
      </w:pPr>
      <w:r>
        <w:rPr>
          <w:rFonts w:ascii="Calibri" w:hAnsi="Calibri"/>
          <w:color w:val="1B2430"/>
          <w:sz w:val="22"/>
        </w:rPr>
        <w:t xml:space="preserve">Consumption pricing means volume shifting to AI is partly </w:t>
      </w:r>
      <w:r>
        <w:rPr>
          <w:rFonts w:ascii="Calibri" w:hAnsi="Calibri"/>
          <w:b/>
          <w:color w:val="1B2430"/>
          <w:sz w:val="22"/>
        </w:rPr>
        <w:t>monetized, not lost</w:t>
      </w:r>
      <w:r>
        <w:rPr>
          <w:rFonts w:ascii="Calibri" w:hAnsi="Calibri"/>
          <w:color w:val="1B2430"/>
          <w:sz w:val="22"/>
        </w:rPr>
        <w:t xml:space="preserve"> — as long as calls still traverse TCN's dialer. The real risk is </w:t>
      </w:r>
      <w:r>
        <w:rPr>
          <w:rFonts w:ascii="Calibri" w:hAnsi="Calibri"/>
          <w:b/>
          <w:color w:val="1B2430"/>
          <w:sz w:val="22"/>
        </w:rPr>
        <w:t>dial-path retention</w:t>
      </w:r>
      <w:r>
        <w:rPr>
          <w:rFonts w:ascii="Calibri" w:hAnsi="Calibri"/>
          <w:color w:val="1B2430"/>
          <w:sz w:val="22"/>
        </w:rPr>
        <w:t xml:space="preserve">: the AI-natives can </w:t>
      </w:r>
      <w:r>
        <w:rPr>
          <w:rFonts w:ascii="Calibri" w:hAnsi="Calibri"/>
          <w:b/>
          <w:color w:val="1B2430"/>
          <w:sz w:val="22"/>
        </w:rPr>
        <w:t>become the dial path</w:t>
      </w:r>
      <w:r>
        <w:rPr>
          <w:rFonts w:ascii="Calibri" w:hAnsi="Calibri"/>
          <w:color w:val="1B2430"/>
          <w:sz w:val="22"/>
        </w:rPr>
        <w:t xml:space="preserve"> themselves. This is not hypothetical — Skit.ai already offers </w:t>
      </w:r>
      <w:r>
        <w:rPr>
          <w:rFonts w:ascii="Calibri" w:hAnsi="Calibri"/>
          <w:b/>
          <w:color w:val="1B2430"/>
          <w:sz w:val="22"/>
        </w:rPr>
        <w:t>its own telephony</w:t>
      </w:r>
      <w:r>
        <w:rPr>
          <w:rFonts w:ascii="Calibri" w:hAnsi="Calibri"/>
          <w:color w:val="1B2430"/>
          <w:sz w:val="22"/>
        </w:rPr>
        <w:t xml:space="preserve"> and runs end-to-end automated collections calls today. If a customer points an AI-native at its own numbers, TCN is disintermediated into commodity pipes. Neither document stress-tests this — the gating technical-diligence question.</w:t>
      </w:r>
    </w:p>
    <w:p>
      <w:pPr>
        <w:spacing w:before="200" w:after="80"/>
        <w:pBdr>
          <w:bottom w:val="single" w:sz="6" w:space="6" w:color="D5DBE3"/>
        </w:pBdr>
      </w:pPr>
      <w:r>
        <w:rPr>
          <w:rFonts w:ascii="Calibri" w:hAnsi="Calibri"/>
          <w:b/>
          <w:color w:val="1F3A5F"/>
          <w:sz w:val="21"/>
          <w:spacing w:val="20"/>
        </w:rPr>
        <w:t>RECOMMENDATION</w:t>
      </w:r>
    </w:p>
    <w:p>
      <w:pPr>
        <w:pStyle w:val="ListBullet"/>
        <w:spacing w:after="80"/>
      </w:pPr>
      <w:r>
        <w:rPr>
          <w:rFonts w:ascii="Calibri" w:hAnsi="Calibri"/>
          <w:color w:val="1B2430"/>
          <w:sz w:val="21"/>
        </w:rPr>
        <w:t xml:space="preserve">Underwrite the ~$60M franchise on </w:t>
      </w:r>
      <w:r>
        <w:rPr>
          <w:rFonts w:ascii="Calibri" w:hAnsi="Calibri"/>
          <w:b/>
          <w:color w:val="1B2430"/>
          <w:sz w:val="21"/>
        </w:rPr>
        <w:t>switching costs + consumption pricing + last-independent-in-a-niche</w:t>
      </w:r>
      <w:r>
        <w:rPr>
          <w:rFonts w:ascii="Calibri" w:hAnsi="Calibri"/>
          <w:color w:val="1B2430"/>
          <w:sz w:val="21"/>
        </w:rPr>
        <w:t xml:space="preserve"> (post-LiveVox/NICE). Treat AI as optionality, not thesis.</w:t>
      </w:r>
    </w:p>
    <w:p>
      <w:pPr>
        <w:pStyle w:val="ListBullet"/>
        <w:spacing w:after="80"/>
      </w:pPr>
      <w:r>
        <w:rPr>
          <w:rFonts w:ascii="Calibri" w:hAnsi="Calibri"/>
          <w:b/>
          <w:color w:val="1B2430"/>
          <w:sz w:val="21"/>
        </w:rPr>
        <w:t>Do not pay an AI premium.</w:t>
      </w:r>
      <w:r>
        <w:rPr>
          <w:rFonts w:ascii="Calibri" w:hAnsi="Calibri"/>
          <w:color w:val="1B2430"/>
          <w:sz w:val="21"/>
        </w:rPr>
        <w:t xml:space="preserve"> One question gates the tech DD: </w:t>
      </w:r>
      <w:r>
        <w:rPr>
          <w:rFonts w:ascii="Calibri" w:hAnsi="Calibri"/>
          <w:i/>
          <w:color w:val="1B2430"/>
          <w:sz w:val="21"/>
        </w:rPr>
        <w:t>does TCN stay in the call path as AI agents replace human seats?</w:t>
      </w:r>
    </w:p>
    <w:p>
      <w:pPr>
        <w:pBdr>
          <w:top w:val="single" w:sz="6" w:space="6" w:color="D5DBE3"/>
        </w:pBdr>
        <w:spacing w:before="160"/>
      </w:pPr>
      <w:r>
        <w:rPr>
          <w:b/>
          <w:color w:val="1B2430"/>
          <w:sz w:val="21"/>
        </w:rPr>
        <w:t>K. Slowinski</w:t>
      </w:r>
      <w:r>
        <w:rPr>
          <w:color w:val="5C6672"/>
          <w:sz w:val="19"/>
        </w:rPr>
        <w:br/>
        <w:t>Independent AI &amp; Technology Advisor</w:t>
      </w:r>
    </w:p>
    <w:p>
      <w:pPr>
        <w:spacing w:before="160"/>
      </w:pPr>
      <w:r>
        <w:rPr>
          <w:color w:val="9AA4B2"/>
          <w:sz w:val="16"/>
        </w:rPr>
        <w:t>Prepared for Benefit Street Partners. Based on the Project Teton CIP, the Palo Alto Strategy Group Commercial VDD, competitor public materials, and independent technical analysis. Figures per CIP/management, unaudited. Not investment advice. Confidential — do not distribute.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