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19"/>
          <w:spacing w:val="40"/>
        </w:rPr>
        <w:t>PROJECT TETON</w:t>
      </w:r>
    </w:p>
    <w:p>
      <w:pPr>
        <w:spacing w:after="120"/>
        <w:pBdr>
          <w:bottom w:val="single" w:sz="8" w:space="6" w:color="8AA6C6"/>
        </w:pBdr>
      </w:pPr>
      <w:r>
        <w:rPr>
          <w:b/>
          <w:color w:val="1F3A5F"/>
          <w:sz w:val="36"/>
        </w:rPr>
        <w:t>TCN AI: Real, or Slides?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6"/>
        <w:gridCol w:w="8064"/>
      </w:tblGrid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TO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Benefit Street Partners, Investment Committee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FROM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K. Slowinski, Independent AI &amp; Technology Advisor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RE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TCN (Project Teton): is the AI a real moat?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DATE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June 2026  ·  Strictly Private &amp; Confidential</w:t>
            </w:r>
          </w:p>
        </w:tc>
      </w:tr>
    </w:tbl>
    <w:p>
      <w:pPr>
        <w:spacing w:before="120" w:after="0"/>
        <w:shd w:val="clear" w:fill="F5F7FA"/>
        <w:pBdr>
          <w:top w:val="single" w:sz="4" w:space="6" w:color="1F3A5F"/>
          <w:left w:val="single" w:sz="4" w:space="6" w:color="1F3A5F"/>
          <w:right w:val="single" w:sz="4" w:space="6" w:color="1F3A5F"/>
        </w:pBdr>
      </w:pPr>
      <w:r>
        <w:rPr>
          <w:b/>
          <w:color w:val="1F3A5F"/>
          <w:sz w:val="18"/>
        </w:rPr>
        <w:t>MY TAKE</w:t>
      </w:r>
    </w:p>
    <w:p>
      <w:pPr>
        <w:spacing w:before="0" w:after="120"/>
        <w:shd w:val="clear" w:fill="F5F7FA"/>
        <w:pBdr>
          <w:bottom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color w:val="1B2430"/>
          <w:sz w:val="22"/>
        </w:rPr>
        <w:t xml:space="preserve">TCN is a solid calling platform. It has no AI moat, and it's behind on AI. The “AI + compliance moat” the CIP and the Palo Alto VDD are selling is mostly slides. Their AI agents had </w:t>
      </w:r>
      <w:r>
        <w:rPr>
          <w:rFonts w:ascii="Calibri" w:hAnsi="Calibri"/>
          <w:b/>
          <w:color w:val="1B2430"/>
          <w:sz w:val="22"/>
        </w:rPr>
        <w:t>0 customers and $0 revenue at the end of 2025</w:t>
      </w:r>
      <w:r>
        <w:rPr>
          <w:rFonts w:ascii="Calibri" w:hAnsi="Calibri"/>
          <w:color w:val="1B2430"/>
          <w:sz w:val="22"/>
        </w:rPr>
        <w:t xml:space="preserve"> (first customer April 2026). Pay for the calling business. Don't pay for AI they don't have yet.</w:t>
      </w:r>
    </w:p>
    <w:p>
      <w:pPr>
        <w:spacing w:before="200" w:after="80"/>
        <w:pBdr>
          <w:bottom w:val="single" w:sz="6" w:space="6" w:color="D5DBE3"/>
        </w:pBdr>
      </w:pPr>
      <w:r>
        <w:rPr>
          <w:b/>
          <w:color w:val="1F3A5F"/>
          <w:sz w:val="21"/>
          <w:spacing w:val="20"/>
        </w:rPr>
        <w:t>WHAT'S REAL (WORTH PAYING FOR)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~$60M ARR, ~37% 2026E growth, ~20-24% EBITDA.</w:t>
      </w:r>
      <w:r>
        <w:rPr>
          <w:rFonts w:ascii="Calibri" w:hAnsi="Calibri"/>
          <w:color w:val="1B2430"/>
          <w:sz w:val="21"/>
        </w:rPr>
        <w:t xml:space="preserve"> Bootstrapped, Rule-of-60. This is a good business.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Sticky. ~98% logo retention and a dialer that's genuinely hard to rip out.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Consumption pricing, not per-seat.</w:t>
      </w:r>
      <w:r>
        <w:rPr>
          <w:rFonts w:ascii="Calibri" w:hAnsi="Calibri"/>
          <w:color w:val="1B2430"/>
          <w:sz w:val="21"/>
        </w:rPr>
        <w:t xml:space="preserve"> If AI volume runs through their pipes, they make money on it instead of losing seats. It's the best thing they've got.</w:t>
      </w:r>
    </w:p>
    <w:p>
      <w:pPr>
        <w:spacing w:before="200" w:after="80"/>
        <w:pBdr>
          <w:bottom w:val="single" w:sz="6" w:space="6" w:color="D5DBE3"/>
        </w:pBdr>
      </w:pPr>
      <w:r>
        <w:rPr>
          <w:b/>
          <w:color w:val="1F3A5F"/>
          <w:sz w:val="21"/>
          <w:spacing w:val="20"/>
        </w:rPr>
        <w:t>WHAT'S HYPE (DON'T PAY FOR IT)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“AI moat” is slides.</w:t>
      </w:r>
      <w:r>
        <w:rPr>
          <w:rFonts w:ascii="Calibri" w:hAnsi="Calibri"/>
          <w:color w:val="1B2430"/>
          <w:sz w:val="21"/>
        </w:rPr>
        <w:t xml:space="preserve"> Agentic AI had </w:t>
      </w:r>
      <w:r>
        <w:rPr>
          <w:rFonts w:ascii="Calibri" w:hAnsi="Calibri"/>
          <w:b/>
          <w:color w:val="1B2430"/>
          <w:sz w:val="21"/>
        </w:rPr>
        <w:t>0 customers and $0</w:t>
      </w:r>
      <w:r>
        <w:rPr>
          <w:rFonts w:ascii="Calibri" w:hAnsi="Calibri"/>
          <w:color w:val="1B2430"/>
          <w:sz w:val="21"/>
        </w:rPr>
        <w:t xml:space="preserve"> at end-2025 (first customer April 2026, ~$1M </w:t>
      </w:r>
      <w:r>
        <w:rPr>
          <w:rFonts w:ascii="Calibri" w:hAnsi="Calibri"/>
          <w:i/>
          <w:color w:val="1B2430"/>
          <w:sz w:val="21"/>
        </w:rPr>
        <w:t>planned</w:t>
      </w:r>
      <w:r>
        <w:rPr>
          <w:rFonts w:ascii="Calibri" w:hAnsi="Calibri"/>
          <w:color w:val="1B2430"/>
          <w:sz w:val="21"/>
        </w:rPr>
        <w:t xml:space="preserve"> for the year). They own one real in-house model, SmartAMD, and it just detects answering machines. The rest of the AI is rented (GPT, Gemini, Whisper).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They're behind, and the new players are built differently.</w:t>
      </w:r>
      <w:r>
        <w:rPr>
          <w:rFonts w:ascii="Calibri" w:hAnsi="Calibri"/>
          <w:color w:val="1B2430"/>
          <w:sz w:val="21"/>
        </w:rPr>
        <w:t xml:space="preserve"> Decagon, Sierra and Skit.ai are agent-first. TCN is bolting bots onto a dialer.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“compliance moat” is table stakes.</w:t>
      </w:r>
      <w:r>
        <w:rPr>
          <w:rFonts w:ascii="Calibri" w:hAnsi="Calibri"/>
          <w:color w:val="1B2430"/>
          <w:sz w:val="21"/>
        </w:rPr>
        <w:t xml:space="preserve"> Everyone sells it: LiveVox, Five9, Convoso, and AI-native Skit.ai. You can buy it off the shelf (DNC.com, Gryphon). TCN's compliance depth is a real but modest edge, and it's a vertical/legal edge, not an AI one.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The Palo Alto VDD rates almost every finding a perfect score. That's a second sales deck, not diligence.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AI won't set itself up.</w:t>
      </w:r>
      <w:r>
        <w:rPr>
          <w:rFonts w:ascii="Calibri" w:hAnsi="Calibri"/>
          <w:color w:val="1B2430"/>
          <w:sz w:val="21"/>
        </w:rPr>
        <w:t xml:space="preserve"> Standing up agents takes forward-deployed engineering. Sierra and Decagon charge $50-200K and take 8-16 weeks. TCN's mid-market shops can't configure this alone, and TCN runs lean on services. So AI revenue is services-gated, not clean SaaS.</w:t>
      </w:r>
    </w:p>
    <w:p>
      <w:pPr>
        <w:spacing w:before="120" w:after="0"/>
        <w:shd w:val="clear" w:fill="F5F7FA"/>
        <w:pBdr>
          <w:top w:val="single" w:sz="4" w:space="6" w:color="1F3A5F"/>
          <w:left w:val="single" w:sz="4" w:space="6" w:color="1F3A5F"/>
          <w:right w:val="single" w:sz="4" w:space="6" w:color="1F3A5F"/>
        </w:pBdr>
      </w:pPr>
      <w:r>
        <w:rPr>
          <w:b/>
          <w:color w:val="1F3A5F"/>
          <w:sz w:val="18"/>
        </w:rPr>
        <w:t>THE REAL RISK</w:t>
      </w:r>
    </w:p>
    <w:p>
      <w:pPr>
        <w:spacing w:before="0" w:after="120"/>
        <w:shd w:val="clear" w:fill="F5F7FA"/>
        <w:pBdr>
          <w:bottom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color w:val="1B2430"/>
          <w:sz w:val="22"/>
        </w:rPr>
        <w:t xml:space="preserve">The new AI players can be the phone line themselves. This isn't theory. Skit.ai already sells </w:t>
      </w:r>
      <w:r>
        <w:rPr>
          <w:rFonts w:ascii="Calibri" w:hAnsi="Calibri"/>
          <w:b/>
          <w:color w:val="1B2430"/>
          <w:sz w:val="22"/>
        </w:rPr>
        <w:t>its own telephony</w:t>
      </w:r>
      <w:r>
        <w:rPr>
          <w:rFonts w:ascii="Calibri" w:hAnsi="Calibri"/>
          <w:color w:val="1B2430"/>
          <w:sz w:val="22"/>
        </w:rPr>
        <w:t xml:space="preserve"> and runs the whole collections call today. If a customer points one of them at their numbers, TCN is just pipes. Nobody has stress-tested this, and it's the question I'd want answered first.</w:t>
      </w:r>
    </w:p>
    <w:p>
      <w:pPr>
        <w:spacing w:before="200" w:after="80"/>
        <w:pBdr>
          <w:bottom w:val="single" w:sz="6" w:space="6" w:color="D5DBE3"/>
        </w:pBdr>
      </w:pPr>
      <w:r>
        <w:rPr>
          <w:b/>
          <w:color w:val="1F3A5F"/>
          <w:sz w:val="21"/>
          <w:spacing w:val="20"/>
        </w:rPr>
        <w:t>WHAT I'D DO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It's a good calling business. Pay for that: switching costs, consumption pricing, last independent standing after LiveVox went to NICE. Treat the AI as an option, not the reason to buy.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Don't pay an AI premium.</w:t>
      </w:r>
      <w:r>
        <w:rPr>
          <w:rFonts w:ascii="Calibri" w:hAnsi="Calibri"/>
          <w:color w:val="1B2430"/>
          <w:sz w:val="21"/>
        </w:rPr>
        <w:t xml:space="preserve"> One question decides it: </w:t>
      </w:r>
      <w:r>
        <w:rPr>
          <w:rFonts w:ascii="Calibri" w:hAnsi="Calibri"/>
          <w:i/>
          <w:color w:val="1B2430"/>
          <w:sz w:val="21"/>
        </w:rPr>
        <w:t>does TCN stay in the call path when AI agents replace the seats?</w:t>
      </w:r>
    </w:p>
    <w:p>
      <w:pPr>
        <w:pBdr>
          <w:top w:val="single" w:sz="6" w:space="6" w:color="D5DBE3"/>
        </w:pBdr>
        <w:spacing w:before="160"/>
      </w:pPr>
      <w:r>
        <w:rPr>
          <w:b/>
          <w:color w:val="1B2430"/>
          <w:sz w:val="21"/>
        </w:rPr>
        <w:t>K. Slowinski</w:t>
      </w:r>
      <w:r>
        <w:rPr>
          <w:color w:val="5C6672"/>
          <w:sz w:val="19"/>
        </w:rPr>
        <w:br/>
        <w:t>Independent AI &amp; Technology Advisor</w:t>
      </w:r>
    </w:p>
    <w:p>
      <w:pPr>
        <w:spacing w:before="160"/>
      </w:pPr>
      <w:r>
        <w:rPr>
          <w:color w:val="9AA4B2"/>
          <w:sz w:val="16"/>
        </w:rPr>
        <w:t>Prepared for Benefit Street Partners. Based on the Project Teton CIP, the Palo Alto Strategy Group Commercial VDD, competitor public materials, and independent technical analysis. Figures per CIP/management, unaudited. Not investment advice. Confidential, do not distribute.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