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Calibri" w:hAnsi="Calibri" w:cs="Calibri" w:eastAsia="Yu Gothic"/>
          <w:b/>
          <w:sz w:val="40"/>
        </w:rPr>
        <w:t>要件定義書 テンプレート（鉄道運用最適化 / ND成果物3）</w:t>
      </w:r>
    </w:p>
    <w:p>
      <w:pPr>
        <w:spacing w:before="0" w:after="360" w:line="276" w:lineRule="auto"/>
        <w:jc w:val="center"/>
      </w:pPr>
      <w:r>
        <w:t>※ 本テンプレートは「情報倉庫ND3」チャットに記録された前提（終日1運用 / 30日計画 / 回送・検査考慮 / OR-Tools CP-SAT）を反映して、初期値を埋めたもの。未確定事項は（記入）として残す。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20"/>
              </w:rPr>
              <w:t>文書名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 w:val="0"/>
                <w:sz w:val="20"/>
              </w:rPr>
              <w:t>要件定義書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20"/>
              </w:rPr>
              <w:t>プロジェクト</w:t>
            </w:r>
          </w:p>
        </w:tc>
        <w:tc>
          <w:tcPr>
            <w:tcW w:type="dxa" w:w="2436"/>
            <w:vAlign w:val="center"/>
          </w:tcPr>
          <w:p>
            <w:r>
              <w:t>鉄道運用最適化（ND成果物3 / 情報倉庫ND3準拠）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20"/>
              </w:rPr>
              <w:t>版数</w:t>
            </w:r>
          </w:p>
        </w:tc>
        <w:tc>
          <w:tcPr>
            <w:tcW w:type="dxa" w:w="2436"/>
            <w:vAlign w:val="center"/>
          </w:tcPr>
          <w:p>
            <w:r>
              <w:t>v0.2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20"/>
              </w:rPr>
              <w:t>作成日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 w:val="0"/>
                <w:sz w:val="20"/>
              </w:rPr>
              <w:t>2025-12-22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20"/>
              </w:rPr>
              <w:t>作成者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 w:val="0"/>
                <w:sz w:val="20"/>
              </w:rPr>
              <w:t>（記入）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20"/>
              </w:rPr>
              <w:t>承認者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 w:val="0"/>
                <w:sz w:val="20"/>
              </w:rPr>
              <w:t>（記入）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20"/>
              </w:rPr>
              <w:t>更新履歴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 w:val="0"/>
                <w:sz w:val="20"/>
              </w:rPr>
              <w:t>本文末尾参照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20"/>
              </w:rPr>
              <w:t>参照資料</w:t>
            </w:r>
          </w:p>
        </w:tc>
        <w:tc>
          <w:tcPr>
            <w:tcW w:type="dxa" w:w="2436"/>
            <w:vAlign w:val="center"/>
          </w:tcPr>
          <w:p>
            <w:r>
              <w:t>情報倉庫ND3（本チャット） / 調査メモ（記入）</w:t>
            </w:r>
          </w:p>
        </w:tc>
      </w:tr>
    </w:tbl>
    <w:p/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1. 概要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1.1 目的</w:t>
      </w:r>
    </w:p>
    <w:p>
      <w:pPr>
        <w:spacing w:before="0" w:after="40" w:line="276" w:lineRule="auto"/>
      </w:pPr>
      <w:r>
        <w:t>本書は、鉄道の編成運用（終日1運用）を題材に、制約付き最適化（CP-SAT）で30日分の実行可能計画を生成するシステムの要件を合意形成し、設計・実装・検証へつなぐための基準文書とする。</w:t>
      </w:r>
    </w:p>
    <w:p>
      <w:pPr>
        <w:spacing w:before="0" w:after="120" w:line="276" w:lineRule="auto"/>
      </w:pPr>
      <w:r>
        <w:t>記入ガイド: 「何（編成割当＋回送・検査）を、誰（運用/検修担当）の意思決定として、どの粒度（30日×日次）で支援するか」を1〜3行で断言する。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1.2 背景 / 現状課題（As-Is）</w:t>
      </w:r>
    </w:p>
    <w:p>
      <w:pPr>
        <w:pStyle w:val="ListBullet"/>
        <w:spacing w:before="0" w:after="40" w:line="276" w:lineRule="auto"/>
      </w:pPr>
      <w:r>
        <w:t>現行の運用計画は、制約（検査期限、走行距離、留置、連日関係、回送など）が多く、手作業・経験則に依存しやすい。検討のたびに整合確認コストが発生し、制約取りこぼしのリスクがある。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制約違反リスク（法令、労務、設備容量、運行規程）と、修正にかかる手戻りコスト。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評価指標（遅延、余裕時分、回送距離、要員不足、コスト等）が分散し、全体最適が難しい。</w:t>
      </w:r>
    </w:p>
    <w:p>
      <w:pPr>
        <w:spacing w:before="0" w:after="120" w:line="276" w:lineRule="auto"/>
      </w:pPr>
      <w:r>
        <w:rPr>
          <w:rFonts w:ascii="Calibri" w:hAnsi="Calibri" w:cs="Calibri" w:eastAsia="Yu Gothic"/>
          <w:color w:val="5A5A5A"/>
          <w:sz w:val="18"/>
        </w:rPr>
        <w:t>記入ガイド: 数字（工数、作成期間、違反件数、コスト）を入れると一気に強い。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1.3 ゴール / 成果物（To-Be）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最適化対象（例: 車両運用、乗務運用、折返し運用、検修計画、ダイヤ調整）の範囲を定義し、最適化結果を出力する。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計画品質（KPI）と計算時間（SLA）を満たす形で、現場がレビュー・修正できるワークフローを用意する。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監査可能性（入力データ・制約・意思決定の根拠）を担保する。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1.4 用語 / 略語</w:t>
      </w:r>
    </w:p>
    <w:p>
      <w:pPr>
        <w:spacing w:before="0" w:after="120" w:line="276" w:lineRule="auto"/>
      </w:pPr>
      <w:r>
        <w:rPr>
          <w:rFonts w:ascii="Calibri" w:hAnsi="Calibri" w:cs="Calibri" w:eastAsia="Yu Gothic"/>
          <w:color w:val="5A5A5A"/>
          <w:sz w:val="18"/>
        </w:rPr>
        <w:t>記入ガイド: プロジェクト固有の用語は、後で必ず“用語集”に寄せて一元化。</w:t>
      </w:r>
    </w:p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2. スコープ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2.1 対象業務・対象路線・期間・粒度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対象期間: （例: 30日ローリング / 1日単位 / 分単位）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対象リソース: （車両編成、運転士・車掌、検修設備、留置線など）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対象路線/運行形態: （旅客/貨物、種別、相互直通の有無など）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最適化粒度: （列車単位 / 仕業単位 / 区間単位 / 時間帯単位）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2.2 インスコープ / アウトスコープ</w:t>
      </w:r>
    </w:p>
    <w:p>
      <w:pPr>
        <w:spacing w:before="0" w:after="120" w:line="276" w:lineRule="auto"/>
      </w:pPr>
      <w:r>
        <w:rPr>
          <w:rFonts w:ascii="Calibri" w:hAnsi="Calibri" w:cs="Calibri" w:eastAsia="Yu Gothic"/>
          <w:color w:val="5A5A5A"/>
          <w:sz w:val="18"/>
        </w:rPr>
        <w:t>記入ガイド: “やらないこと”を先に決めると救われる。Excel側のスコープ表と整合させる。</w:t>
      </w:r>
    </w:p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3. ステークホルダー</w:t>
      </w:r>
    </w:p>
    <w:p>
      <w:pPr>
        <w:spacing w:before="0" w:after="40" w:line="276" w:lineRule="auto"/>
      </w:pPr>
      <w:r>
        <w:rPr>
          <w:rFonts w:ascii="Calibri" w:hAnsi="Calibri" w:cs="Calibri" w:eastAsia="Yu Gothic"/>
          <w:sz w:val="20"/>
        </w:rPr>
        <w:t>本章は、意思決定者・利用者・運用者・データ提供者・審査者（安全/法務/情報セキュリティ）を明確化する。</w:t>
      </w:r>
    </w:p>
    <w:p>
      <w:pPr>
        <w:spacing w:before="0" w:after="120" w:line="276" w:lineRule="auto"/>
      </w:pPr>
      <w:r>
        <w:rPr>
          <w:rFonts w:ascii="Calibri" w:hAnsi="Calibri" w:cs="Calibri" w:eastAsia="Yu Gothic"/>
          <w:color w:val="5A5A5A"/>
          <w:sz w:val="18"/>
        </w:rPr>
        <w:t>記入ガイド: 責任分界（RACI）まで落とすと、後半がスムーズ。</w:t>
      </w:r>
    </w:p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4. 要件（一覧→詳細）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4.1 要件の分類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業務要件（運用ルール、意思決定、業務フロー）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機能要件（入力、最適化実行、結果表示、エクスポート、差分比較、手修正）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非機能要件（性能、可用性、セキュリティ、監査、保守性）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データ要件（データソース、品質、更新頻度、欠損/異常処理）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最適化モデル要件（目的関数、制約、優先順位、フェイルセーフ）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4.2 要件一覧（サマリ）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ID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種別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カテゴリ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要件（1文で）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優先度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根拠/出典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受入基準（要点）</w:t>
            </w:r>
          </w:p>
        </w:tc>
        <w:tc>
          <w:tcPr>
            <w:tcW w:type="dxa" w:w="1218"/>
            <w:vAlign w:val="center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218"/>
            <w:vAlign w:val="top"/>
          </w:tcPr>
          <w:p>
            <w:r/>
            <w:r>
              <w:rPr>
                <w:rFonts w:ascii="Calibri" w:hAnsi="Calibri" w:cs="Calibri" w:eastAsia="Yu Gothic"/>
                <w:sz w:val="18"/>
              </w:rPr>
              <w:t>FR-001</w:t>
            </w:r>
          </w:p>
        </w:tc>
        <w:tc>
          <w:tcPr>
            <w:tcW w:type="dxa" w:w="1218"/>
            <w:vAlign w:val="top"/>
          </w:tcPr>
          <w:p>
            <w:r/>
            <w:r>
              <w:rPr>
                <w:rFonts w:ascii="Calibri" w:hAnsi="Calibri" w:cs="Calibri" w:eastAsia="Yu Gothic"/>
                <w:sz w:val="18"/>
              </w:rPr>
              <w:t>機能</w:t>
            </w:r>
          </w:p>
        </w:tc>
        <w:tc>
          <w:tcPr>
            <w:tcW w:type="dxa" w:w="1218"/>
            <w:vAlign w:val="top"/>
          </w:tcPr>
          <w:p>
            <w:r/>
            <w:r>
              <w:rPr>
                <w:rFonts w:ascii="Calibri" w:hAnsi="Calibri" w:cs="Calibri" w:eastAsia="Yu Gothic"/>
                <w:sz w:val="18"/>
              </w:rPr>
              <w:t>結果閲覧</w:t>
            </w:r>
          </w:p>
        </w:tc>
        <w:tc>
          <w:tcPr>
            <w:tcW w:type="dxa" w:w="1218"/>
            <w:vAlign w:val="top"/>
          </w:tcPr>
          <w:p>
            <w:r/>
            <w:r>
              <w:rPr>
                <w:rFonts w:ascii="Calibri" w:hAnsi="Calibri" w:cs="Calibri" w:eastAsia="Yu Gothic"/>
                <w:sz w:val="18"/>
              </w:rPr>
              <w:t>（例）最適化結果を日別/列車別/仕業別にフィルタして表示できる</w:t>
            </w:r>
          </w:p>
        </w:tc>
        <w:tc>
          <w:tcPr>
            <w:tcW w:type="dxa" w:w="1218"/>
            <w:vAlign w:val="top"/>
          </w:tcPr>
          <w:p>
            <w:r/>
            <w:r>
              <w:rPr>
                <w:rFonts w:ascii="Calibri" w:hAnsi="Calibri" w:cs="Calibri" w:eastAsia="Yu Gothic"/>
                <w:sz w:val="18"/>
              </w:rPr>
              <w:t>Must</w:t>
            </w:r>
          </w:p>
        </w:tc>
        <w:tc>
          <w:tcPr>
            <w:tcW w:type="dxa" w:w="1218"/>
            <w:vAlign w:val="top"/>
          </w:tcPr>
          <w:p>
            <w:r/>
            <w:r>
              <w:rPr>
                <w:rFonts w:ascii="Calibri" w:hAnsi="Calibri" w:cs="Calibri" w:eastAsia="Yu Gothic"/>
                <w:sz w:val="18"/>
              </w:rPr>
              <w:t>運用担当ヒアリング</w:t>
            </w:r>
          </w:p>
        </w:tc>
        <w:tc>
          <w:tcPr>
            <w:tcW w:type="dxa" w:w="1218"/>
            <w:vAlign w:val="top"/>
          </w:tcPr>
          <w:p>
            <w:r/>
            <w:r>
              <w:rPr>
                <w:rFonts w:ascii="Calibri" w:hAnsi="Calibri" w:cs="Calibri" w:eastAsia="Yu Gothic"/>
                <w:sz w:val="18"/>
              </w:rPr>
              <w:t>指定条件で1秒以内に一覧が更新される</w:t>
            </w:r>
          </w:p>
        </w:tc>
        <w:tc>
          <w:tcPr>
            <w:tcW w:type="dxa" w:w="1218"/>
            <w:vAlign w:val="top"/>
          </w:tcPr>
          <w:p>
            <w:r/>
            <w:r>
              <w:rPr>
                <w:rFonts w:ascii="Calibri" w:hAnsi="Calibri" w:cs="Calibri" w:eastAsia="Yu Gothic"/>
                <w:sz w:val="18"/>
              </w:rPr>
            </w:r>
          </w:p>
        </w:tc>
      </w:tr>
      <w:tr>
        <w:tc>
          <w:tcPr>
            <w:tcW w:type="dxa" w:w="1218"/>
            <w:vAlign w:val="top"/>
          </w:tcPr>
          <w:p>
            <w:r>
              <w:t>FR-002</w:t>
            </w:r>
          </w:p>
        </w:tc>
        <w:tc>
          <w:tcPr>
            <w:tcW w:type="dxa" w:w="1218"/>
            <w:vAlign w:val="top"/>
          </w:tcPr>
          <w:p>
            <w:r>
              <w:t>機能</w:t>
            </w:r>
          </w:p>
        </w:tc>
        <w:tc>
          <w:tcPr>
            <w:tcW w:type="dxa" w:w="1218"/>
            <w:vAlign w:val="top"/>
          </w:tcPr>
          <w:p>
            <w:r>
              <w:t>計画生成</w:t>
            </w:r>
          </w:p>
        </w:tc>
        <w:tc>
          <w:tcPr>
            <w:tcW w:type="dxa" w:w="1218"/>
            <w:vAlign w:val="top"/>
          </w:tcPr>
          <w:p>
            <w:r>
              <w:t>入力から30日分の実行可能な編成割当計画を生成できる</w:t>
            </w:r>
          </w:p>
        </w:tc>
        <w:tc>
          <w:tcPr>
            <w:tcW w:type="dxa" w:w="1218"/>
            <w:vAlign w:val="top"/>
          </w:tcPr>
          <w:p>
            <w:r>
              <w:t>Must</w:t>
            </w:r>
          </w:p>
        </w:tc>
        <w:tc>
          <w:tcPr>
            <w:tcW w:type="dxa" w:w="1218"/>
            <w:vAlign w:val="top"/>
          </w:tcPr>
          <w:p>
            <w:r>
              <w:t>情報倉庫ND3</w:t>
            </w:r>
          </w:p>
        </w:tc>
        <w:tc>
          <w:tcPr>
            <w:tcW w:type="dxa" w:w="1218"/>
            <w:vAlign w:val="top"/>
          </w:tcPr>
          <w:p>
            <w:r>
              <w:t>全運用に割当があり、制約違反0</w:t>
            </w:r>
          </w:p>
        </w:tc>
        <w:tc>
          <w:tcPr>
            <w:tcW w:type="dxa" w:w="1218"/>
            <w:vAlign w:val="top"/>
          </w:tcPr>
          <w:p>
            <w:r/>
          </w:p>
        </w:tc>
      </w:tr>
      <w:tr>
        <w:tc>
          <w:tcPr>
            <w:tcW w:type="dxa" w:w="1218"/>
            <w:vAlign w:val="top"/>
          </w:tcPr>
          <w:p>
            <w:r>
              <w:t>FR-003</w:t>
            </w:r>
          </w:p>
        </w:tc>
        <w:tc>
          <w:tcPr>
            <w:tcW w:type="dxa" w:w="1218"/>
            <w:vAlign w:val="top"/>
          </w:tcPr>
          <w:p>
            <w:r>
              <w:t>機能</w:t>
            </w:r>
          </w:p>
        </w:tc>
        <w:tc>
          <w:tcPr>
            <w:tcW w:type="dxa" w:w="1218"/>
            <w:vAlign w:val="top"/>
          </w:tcPr>
          <w:p>
            <w:r>
              <w:t>制約</w:t>
            </w:r>
          </w:p>
        </w:tc>
        <w:tc>
          <w:tcPr>
            <w:tcW w:type="dxa" w:w="1218"/>
            <w:vAlign w:val="top"/>
          </w:tcPr>
          <w:p>
            <w:r>
              <w:t>走行距離上限・検査期限（日数）など必須制約を満たす</w:t>
            </w:r>
          </w:p>
        </w:tc>
        <w:tc>
          <w:tcPr>
            <w:tcW w:type="dxa" w:w="1218"/>
            <w:vAlign w:val="top"/>
          </w:tcPr>
          <w:p>
            <w:r>
              <w:t>Must</w:t>
            </w:r>
          </w:p>
        </w:tc>
        <w:tc>
          <w:tcPr>
            <w:tcW w:type="dxa" w:w="1218"/>
            <w:vAlign w:val="top"/>
          </w:tcPr>
          <w:p>
            <w:r>
              <w:t>情報倉庫ND3</w:t>
            </w:r>
          </w:p>
        </w:tc>
        <w:tc>
          <w:tcPr>
            <w:tcW w:type="dxa" w:w="1218"/>
            <w:vAlign w:val="top"/>
          </w:tcPr>
          <w:p>
            <w:r>
              <w:t>チェッカーで違反0</w:t>
            </w:r>
          </w:p>
        </w:tc>
        <w:tc>
          <w:tcPr>
            <w:tcW w:type="dxa" w:w="1218"/>
            <w:vAlign w:val="top"/>
          </w:tcPr>
          <w:p>
            <w:r/>
          </w:p>
        </w:tc>
      </w:tr>
      <w:tr>
        <w:tc>
          <w:tcPr>
            <w:tcW w:type="dxa" w:w="1218"/>
            <w:vAlign w:val="top"/>
          </w:tcPr>
          <w:p>
            <w:r>
              <w:t>FR-004</w:t>
            </w:r>
          </w:p>
        </w:tc>
        <w:tc>
          <w:tcPr>
            <w:tcW w:type="dxa" w:w="1218"/>
            <w:vAlign w:val="top"/>
          </w:tcPr>
          <w:p>
            <w:r>
              <w:t>機能</w:t>
            </w:r>
          </w:p>
        </w:tc>
        <w:tc>
          <w:tcPr>
            <w:tcW w:type="dxa" w:w="1218"/>
            <w:vAlign w:val="top"/>
          </w:tcPr>
          <w:p>
            <w:r>
              <w:t>回送/検査</w:t>
            </w:r>
          </w:p>
        </w:tc>
        <w:tc>
          <w:tcPr>
            <w:tcW w:type="dxa" w:w="1218"/>
            <w:vAlign w:val="top"/>
          </w:tcPr>
          <w:p>
            <w:r>
              <w:t>車両センターへの回送・検査イベントを計画に含められる</w:t>
            </w:r>
          </w:p>
        </w:tc>
        <w:tc>
          <w:tcPr>
            <w:tcW w:type="dxa" w:w="1218"/>
            <w:vAlign w:val="top"/>
          </w:tcPr>
          <w:p>
            <w:r>
              <w:t>Must</w:t>
            </w:r>
          </w:p>
        </w:tc>
        <w:tc>
          <w:tcPr>
            <w:tcW w:type="dxa" w:w="1218"/>
            <w:vAlign w:val="top"/>
          </w:tcPr>
          <w:p>
            <w:r>
              <w:t>情報倉庫ND3</w:t>
            </w:r>
          </w:p>
        </w:tc>
        <w:tc>
          <w:tcPr>
            <w:tcW w:type="dxa" w:w="1218"/>
            <w:vAlign w:val="top"/>
          </w:tcPr>
          <w:p>
            <w:r>
              <w:t>events.csvに回送/検査が出力される</w:t>
            </w:r>
          </w:p>
        </w:tc>
        <w:tc>
          <w:tcPr>
            <w:tcW w:type="dxa" w:w="1218"/>
            <w:vAlign w:val="top"/>
          </w:tcPr>
          <w:p>
            <w:r/>
          </w:p>
        </w:tc>
      </w:tr>
      <w:tr>
        <w:tc>
          <w:tcPr>
            <w:tcW w:type="dxa" w:w="1218"/>
            <w:vAlign w:val="top"/>
          </w:tcPr>
          <w:p>
            <w:r>
              <w:t>FR-005</w:t>
            </w:r>
          </w:p>
        </w:tc>
        <w:tc>
          <w:tcPr>
            <w:tcW w:type="dxa" w:w="1218"/>
            <w:vAlign w:val="top"/>
          </w:tcPr>
          <w:p>
            <w:r>
              <w:t>機能</w:t>
            </w:r>
          </w:p>
        </w:tc>
        <w:tc>
          <w:tcPr>
            <w:tcW w:type="dxa" w:w="1218"/>
            <w:vAlign w:val="top"/>
          </w:tcPr>
          <w:p>
            <w:r>
              <w:t>連日固定</w:t>
            </w:r>
          </w:p>
        </w:tc>
        <w:tc>
          <w:tcPr>
            <w:tcW w:type="dxa" w:w="1218"/>
            <w:vAlign w:val="top"/>
          </w:tcPr>
          <w:p>
            <w:r>
              <w:t>一部の運用で翌日の運用が固定などの連日制約を扱える</w:t>
            </w:r>
          </w:p>
        </w:tc>
        <w:tc>
          <w:tcPr>
            <w:tcW w:type="dxa" w:w="1218"/>
            <w:vAlign w:val="top"/>
          </w:tcPr>
          <w:p>
            <w:r>
              <w:t>Should</w:t>
            </w:r>
          </w:p>
        </w:tc>
        <w:tc>
          <w:tcPr>
            <w:tcW w:type="dxa" w:w="1218"/>
            <w:vAlign w:val="top"/>
          </w:tcPr>
          <w:p>
            <w:r>
              <w:t>情報倉庫ND3</w:t>
            </w:r>
          </w:p>
        </w:tc>
        <w:tc>
          <w:tcPr>
            <w:tcW w:type="dxa" w:w="1218"/>
            <w:vAlign w:val="top"/>
          </w:tcPr>
          <w:p>
            <w:r>
              <w:t>固定制約が全件成立</w:t>
            </w:r>
          </w:p>
        </w:tc>
        <w:tc>
          <w:tcPr>
            <w:tcW w:type="dxa" w:w="1218"/>
            <w:vAlign w:val="top"/>
          </w:tcPr>
          <w:p>
            <w:r/>
          </w:p>
        </w:tc>
      </w:tr>
      <w:tr>
        <w:tc>
          <w:tcPr>
            <w:tcW w:type="dxa" w:w="1218"/>
            <w:vAlign w:val="top"/>
          </w:tcPr>
          <w:p>
            <w:r>
              <w:t>NFR-001</w:t>
            </w:r>
          </w:p>
        </w:tc>
        <w:tc>
          <w:tcPr>
            <w:tcW w:type="dxa" w:w="1218"/>
            <w:vAlign w:val="top"/>
          </w:tcPr>
          <w:p>
            <w:r>
              <w:t>非機能</w:t>
            </w:r>
          </w:p>
        </w:tc>
        <w:tc>
          <w:tcPr>
            <w:tcW w:type="dxa" w:w="1218"/>
            <w:vAlign w:val="top"/>
          </w:tcPr>
          <w:p>
            <w:r>
              <w:t>性能</w:t>
            </w:r>
          </w:p>
        </w:tc>
        <w:tc>
          <w:tcPr>
            <w:tcW w:type="dxa" w:w="1218"/>
            <w:vAlign w:val="top"/>
          </w:tcPr>
          <w:p>
            <w:r>
              <w:t>MVP規模で数分以内に解を返す（探索上限あり）</w:t>
            </w:r>
          </w:p>
        </w:tc>
        <w:tc>
          <w:tcPr>
            <w:tcW w:type="dxa" w:w="1218"/>
            <w:vAlign w:val="top"/>
          </w:tcPr>
          <w:p>
            <w:r>
              <w:t>Should</w:t>
            </w:r>
          </w:p>
        </w:tc>
        <w:tc>
          <w:tcPr>
            <w:tcW w:type="dxa" w:w="1218"/>
            <w:vAlign w:val="top"/>
          </w:tcPr>
          <w:p>
            <w:r>
              <w:t>（記入）</w:t>
            </w:r>
          </w:p>
        </w:tc>
        <w:tc>
          <w:tcPr>
            <w:tcW w:type="dxa" w:w="1218"/>
            <w:vAlign w:val="top"/>
          </w:tcPr>
          <w:p>
            <w:r>
              <w:t>時間計測で目標内</w:t>
            </w:r>
          </w:p>
        </w:tc>
        <w:tc>
          <w:tcPr>
            <w:tcW w:type="dxa" w:w="1218"/>
            <w:vAlign w:val="top"/>
          </w:tcPr>
          <w:p>
            <w:r/>
          </w:p>
        </w:tc>
      </w:tr>
      <w:tr>
        <w:tc>
          <w:tcPr>
            <w:tcW w:type="dxa" w:w="1218"/>
          </w:tcPr>
          <w:p>
            <w:r>
              <w:t>NFR-002</w:t>
            </w:r>
          </w:p>
        </w:tc>
        <w:tc>
          <w:tcPr>
            <w:tcW w:type="dxa" w:w="1218"/>
          </w:tcPr>
          <w:p>
            <w:r>
              <w:t>非機能</w:t>
            </w:r>
          </w:p>
        </w:tc>
        <w:tc>
          <w:tcPr>
            <w:tcW w:type="dxa" w:w="1218"/>
          </w:tcPr>
          <w:p>
            <w:r>
              <w:t>再現性</w:t>
            </w:r>
          </w:p>
        </w:tc>
        <w:tc>
          <w:tcPr>
            <w:tcW w:type="dxa" w:w="1218"/>
          </w:tcPr>
          <w:p>
            <w:r>
              <w:t>同一入力＋seedで同一結果を再現できる</w:t>
            </w:r>
          </w:p>
        </w:tc>
        <w:tc>
          <w:tcPr>
            <w:tcW w:type="dxa" w:w="1218"/>
          </w:tcPr>
          <w:p>
            <w:r>
              <w:t>Should</w:t>
            </w:r>
          </w:p>
        </w:tc>
        <w:tc>
          <w:tcPr>
            <w:tcW w:type="dxa" w:w="1218"/>
          </w:tcPr>
          <w:p>
            <w:r>
              <w:t>（記入）</w:t>
            </w:r>
          </w:p>
        </w:tc>
        <w:tc>
          <w:tcPr>
            <w:tcW w:type="dxa" w:w="1218"/>
          </w:tcPr>
          <w:p>
            <w:r>
              <w:t>再実行で一致</w:t>
            </w:r>
          </w:p>
        </w:tc>
        <w:tc>
          <w:tcPr>
            <w:tcW w:type="dxa" w:w="1218"/>
          </w:tcPr>
          <w:p>
            <w:r/>
          </w:p>
        </w:tc>
      </w:tr>
    </w:tbl>
    <w:p>
      <w:pPr>
        <w:spacing w:before="0" w:after="120" w:line="276" w:lineRule="auto"/>
      </w:pPr>
      <w:r>
        <w:rPr>
          <w:rFonts w:ascii="Calibri" w:hAnsi="Calibri" w:cs="Calibri" w:eastAsia="Yu Gothic"/>
          <w:color w:val="5A5A5A"/>
          <w:sz w:val="18"/>
        </w:rPr>
        <w:t>記入ガイド: 一覧は“管理表（Excel）”を正とし、本書は重要要件だけ抜粋でもOK。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4.3 ユースケース / 業務シナリオ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UC-01 計画作成: 入力データ読込 → 制約選択 → 最適化実行 → レビュー → 出力確定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UC-02 例外対応: 遅延/運休/車両故障/要員欠勤 → 影響範囲の再計算 → 代替案比較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UC-03 差分比較: 前回計画 vs 新計画の差分（回送、乗務交代、検修入り）を可視化</w:t>
      </w:r>
    </w:p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5. 最適化モデル要件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5.1 目的関数（例）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遅延・接続不成立のペナルティ最小化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回送距離・回送本数の最小化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乗務交代・泊まり等の負荷平準化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検修期限超過の回避（ハード制約 or 大ペナルティ）</w:t>
      </w:r>
    </w:p>
    <w:p>
      <w:pPr>
        <w:spacing w:before="0" w:after="120" w:line="276" w:lineRule="auto"/>
      </w:pPr>
      <w:r>
        <w:rPr>
          <w:rFonts w:ascii="Calibri" w:hAnsi="Calibri" w:cs="Calibri" w:eastAsia="Yu Gothic"/>
          <w:color w:val="5A5A5A"/>
          <w:sz w:val="18"/>
        </w:rPr>
        <w:t>記入ガイド: 複数目的は“重み付き和”か“優先順位（レキシコグラフィック）”を明記。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5.2 意思決定変数（例）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列車に割り当てる車両編成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仕業（勤務）に割り当てる乗務員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列車間の接続（折返し・回送）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検修の実施タイミングと入出区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5.3 制約（例: ハード/ソフト）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法令・労務（連続乗務時間、休憩、宿泊、資格）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車両運用（編成両数、性能、検修周期、留置容量）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運行（折返し時分、入換、駅設備、番線制約）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需要（編成長、混雑、運用種別、指定席等）</w:t>
      </w:r>
    </w:p>
    <w:p>
      <w:pPr>
        <w:spacing w:before="0" w:after="120" w:line="276" w:lineRule="auto"/>
      </w:pPr>
      <w:r>
        <w:rPr>
          <w:rFonts w:ascii="Calibri" w:hAnsi="Calibri" w:cs="Calibri" w:eastAsia="Yu Gothic"/>
          <w:color w:val="5A5A5A"/>
          <w:sz w:val="18"/>
        </w:rPr>
        <w:t>記入ガイド: ソフト制約は“違反量の定義”と“ペナルティ単位”をセットで書く。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5.4 解の品質と計算時間（SLA）</w:t>
      </w:r>
    </w:p>
    <w:p>
      <w:pPr>
        <w:spacing w:before="0" w:after="40" w:line="276" w:lineRule="auto"/>
      </w:pPr>
      <w:r>
        <w:rPr>
          <w:rFonts w:ascii="Calibri" w:hAnsi="Calibri" w:cs="Calibri" w:eastAsia="Yu Gothic"/>
          <w:sz w:val="20"/>
        </w:rPr>
        <w:t>例: 通常時は5分以内、異常時は60秒以内に“実用解”を返す。最適性ギャップ/満足度指標の目標も定義する。</w:t>
      </w:r>
    </w:p>
    <w:p>
      <w:pPr>
        <w:spacing w:before="0" w:after="120" w:line="276" w:lineRule="auto"/>
      </w:pPr>
      <w:r>
        <w:rPr>
          <w:rFonts w:ascii="Calibri" w:hAnsi="Calibri" w:cs="Calibri" w:eastAsia="Yu Gothic"/>
          <w:color w:val="5A5A5A"/>
          <w:sz w:val="18"/>
        </w:rPr>
        <w:t>記入ガイド: MIP/CP/ヒューリスティックなど方式が変わるので、まずSLAと“最低限守る制約”を固定。</w:t>
      </w:r>
    </w:p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6. データ要件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6.1 データソース一覧</w:t>
      </w:r>
    </w:p>
    <w:p>
      <w:pPr>
        <w:spacing w:before="0" w:after="40" w:line="276" w:lineRule="auto"/>
      </w:pPr>
      <w:r>
        <w:rPr>
          <w:rFonts w:ascii="Calibri" w:hAnsi="Calibri" w:cs="Calibri" w:eastAsia="Yu Gothic"/>
          <w:sz w:val="20"/>
        </w:rPr>
        <w:t>列車ダイヤ、車両マスタ、乗務員マスタ、検修計画、設備容量、実績（遅延・運休）など。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6.2 データ品質 / 更新頻度 / 欠損対応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更新頻度（リアルタイム/日次/週次）と、いつのスナップショットを入力とするか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欠損・矛盾の検知（例: 区間時刻の逆転、編成ID不整合）と、補完/除外の方針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履歴保持（監査・再現性）: 入力・出力・パラメータを版管理する</w:t>
      </w:r>
    </w:p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7. 画面 / 帳票 / 連携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7.1 入出力（例）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入力: CSV/DB/API、制約・重み設定、計画境界条件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出力: 計画表（列車-車両、仕業-乗務員）、差分、制約違反レポート、KPIサマリ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連携: 既存計画システム、運行管理、BI、監査ログ</w:t>
      </w:r>
    </w:p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8. 非機能要件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性能: データ規模と応答時間、同時利用数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可用性: 稼働時間、障害時の縮退運転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セキュリティ: 認証認可、権限、監査ログ、暗号化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運用保守: 監視、バックアップ、ロールバック、モデル更新手順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説明可能性: なぜその割当になったかの根拠提示（制約・コスト分解）</w:t>
      </w:r>
    </w:p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9. 受入基準 / テスト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9.1 受入基準（例）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ハード制約違反が0件（または許容範囲内）であること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KPIが現行比で改善（または同等以上）であること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指定SLA内で計算が完了し、失敗時のフォールバックが動作すること</w:t>
      </w:r>
    </w:p>
    <w:p>
      <w:pPr>
        <w:spacing w:before="120" w:after="40" w:line="276" w:lineRule="auto"/>
      </w:pPr>
      <w:r>
        <w:rPr>
          <w:rFonts w:ascii="Calibri" w:hAnsi="Calibri" w:cs="Calibri" w:eastAsia="Yu Gothic"/>
          <w:b/>
          <w:sz w:val="24"/>
        </w:rPr>
        <w:t>9.2 テスト観点（例）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データ品質テスト、境界条件テスト（欠損/異常値）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制約テスト（単体→統合）、回帰テスト（過去データ再現）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負荷テスト、障害テスト（入力欠落、途中停止、再実行）</w:t>
      </w:r>
    </w:p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10. 前提 / 制約 / リスク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前提: 入力データが所定の粒度・品質で提供される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制約: 外部システムとの連携仕様、法令・社内規程の更新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Yu Gothic"/>
          <w:sz w:val="20"/>
        </w:rPr>
        <w:t>リスク: データ欠損、制約の解釈齟齬、現場運用の例外ルール未把握</w:t>
      </w:r>
    </w:p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付録A. 用語集（テンプレ）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用語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定義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備考/出典</w:t>
            </w:r>
          </w:p>
        </w:tc>
      </w:tr>
      <w:tr>
        <w:tc>
          <w:tcPr>
            <w:tcW w:type="dxa" w:w="3249"/>
          </w:tcPr>
          <w:p>
            <w:r>
              <w:t>運用</w:t>
            </w:r>
          </w:p>
        </w:tc>
        <w:tc>
          <w:tcPr>
            <w:tcW w:type="dxa" w:w="3249"/>
          </w:tcPr>
          <w:p>
            <w:r>
              <w:t>終日単位の仕事の塊（当該日で割り当てる対象）</w:t>
            </w:r>
          </w:p>
        </w:tc>
        <w:tc>
          <w:tcPr>
            <w:tcW w:type="dxa" w:w="3249"/>
          </w:tcPr>
          <w:p>
            <w:r>
              <w:t>情報倉庫ND3</w:t>
            </w:r>
          </w:p>
        </w:tc>
      </w:tr>
      <w:tr>
        <w:tc>
          <w:tcPr>
            <w:tcW w:type="dxa" w:w="3249"/>
          </w:tcPr>
          <w:p>
            <w:r>
              <w:t>編成</w:t>
            </w:r>
          </w:p>
        </w:tc>
        <w:tc>
          <w:tcPr>
            <w:tcW w:type="dxa" w:w="3249"/>
          </w:tcPr>
          <w:p>
            <w:r>
              <w:t>車両の固定編成（割当の最小単位）</w:t>
            </w:r>
          </w:p>
        </w:tc>
        <w:tc>
          <w:tcPr>
            <w:tcW w:type="dxa" w:w="3249"/>
          </w:tcPr>
          <w:p>
            <w:r>
              <w:t>情報倉庫ND3</w:t>
            </w:r>
          </w:p>
        </w:tc>
      </w:tr>
      <w:tr>
        <w:tc>
          <w:tcPr>
            <w:tcW w:type="dxa" w:w="3249"/>
          </w:tcPr>
          <w:p>
            <w:r>
              <w:t>回送</w:t>
            </w:r>
          </w:p>
        </w:tc>
        <w:tc>
          <w:tcPr>
            <w:tcW w:type="dxa" w:w="3249"/>
          </w:tcPr>
          <w:p>
            <w:r>
              <w:t>営業運転外での移動（基地入出区など）</w:t>
            </w:r>
          </w:p>
        </w:tc>
        <w:tc>
          <w:tcPr>
            <w:tcW w:type="dxa" w:w="3249"/>
          </w:tcPr>
          <w:p>
            <w:r>
              <w:t>情報倉庫ND3</w:t>
            </w:r>
          </w:p>
        </w:tc>
      </w:tr>
      <w:tr>
        <w:tc>
          <w:tcPr>
            <w:tcW w:type="dxa" w:w="3249"/>
          </w:tcPr>
          <w:p>
            <w:r>
              <w:t>車両センター</w:t>
            </w:r>
          </w:p>
        </w:tc>
        <w:tc>
          <w:tcPr>
            <w:tcW w:type="dxa" w:w="3249"/>
          </w:tcPr>
          <w:p>
            <w:r>
              <w:t>留置・検査を行う基地（容量制約を置く場合あり）</w:t>
            </w:r>
          </w:p>
        </w:tc>
        <w:tc>
          <w:tcPr>
            <w:tcW w:type="dxa" w:w="3249"/>
          </w:tcPr>
          <w:p>
            <w:r>
              <w:t>情報倉庫ND3</w:t>
            </w:r>
          </w:p>
        </w:tc>
      </w:tr>
      <w:tr>
        <w:tc>
          <w:tcPr>
            <w:tcW w:type="dxa" w:w="3249"/>
          </w:tcPr>
          <w:p>
            <w:r>
              <w:t>検査</w:t>
            </w:r>
          </w:p>
        </w:tc>
        <w:tc>
          <w:tcPr>
            <w:tcW w:type="dxa" w:w="3249"/>
          </w:tcPr>
          <w:p>
            <w:r>
              <w:t>走行距離/日数などの期限に基づく保守イベント</w:t>
            </w:r>
          </w:p>
        </w:tc>
        <w:tc>
          <w:tcPr>
            <w:tcW w:type="dxa" w:w="3249"/>
          </w:tcPr>
          <w:p>
            <w:r>
              <w:t>情報倉庫ND3</w:t>
            </w:r>
          </w:p>
        </w:tc>
      </w:tr>
      <w:tr>
        <w:tc>
          <w:tcPr>
            <w:tcW w:type="dxa" w:w="3249"/>
          </w:tcPr>
          <w:p>
            <w:r>
              <w:t>CP-SAT</w:t>
            </w:r>
          </w:p>
        </w:tc>
        <w:tc>
          <w:tcPr>
            <w:tcW w:type="dxa" w:w="3249"/>
          </w:tcPr>
          <w:p>
            <w:r>
              <w:t>制約充足＋最適化を扱うOR-Toolsのソルバー</w:t>
            </w:r>
          </w:p>
        </w:tc>
        <w:tc>
          <w:tcPr>
            <w:tcW w:type="dxa" w:w="3249"/>
          </w:tcPr>
          <w:p>
            <w:r>
              <w:t>一般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</w:tr>
    </w:tbl>
    <w:p>
      <w:pPr>
        <w:spacing w:before="200" w:after="80" w:line="276" w:lineRule="auto"/>
      </w:pPr>
      <w:r>
        <w:rPr>
          <w:rFonts w:ascii="Calibri" w:hAnsi="Calibri" w:cs="Calibri" w:eastAsia="Yu Gothic"/>
          <w:b/>
          <w:sz w:val="28"/>
        </w:rPr>
        <w:t>付録B. 更新履歴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日付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版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更新内容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b/>
                <w:sz w:val="18"/>
              </w:rPr>
              <w:t>更新者</w:t>
            </w:r>
          </w:p>
        </w:tc>
      </w:tr>
      <w:tr>
        <w:tc>
          <w:tcPr>
            <w:tcW w:type="dxa" w:w="2436"/>
          </w:tcPr>
          <w:p>
            <w:r>
              <w:t>2025-12-22</w:t>
            </w:r>
          </w:p>
        </w:tc>
        <w:tc>
          <w:tcPr>
            <w:tcW w:type="dxa" w:w="2436"/>
          </w:tcPr>
          <w:p>
            <w:r>
              <w:t>v0.2</w:t>
            </w:r>
          </w:p>
        </w:tc>
        <w:tc>
          <w:tcPr>
            <w:tcW w:type="dxa" w:w="2436"/>
          </w:tcPr>
          <w:p>
            <w:r>
              <w:t>情報倉庫ND3の前提を反映（目的/スコープ/要件例/用語）</w:t>
            </w:r>
          </w:p>
        </w:tc>
        <w:tc>
          <w:tcPr>
            <w:tcW w:type="dxa" w:w="2436"/>
          </w:tcPr>
          <w:p>
            <w:r>
              <w:t>（記入）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cs="Calibri" w:eastAsia="Yu Gothic"/>
                <w:color w:val="787878"/>
                <w:sz w:val="18"/>
              </w:rPr>
              <w:t>（記入）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