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sz w:val="28"/>
          <w:szCs w:val="28"/>
        </w:rPr>
        <w:t xml:space="preserve">Politechnika Lubelska</w:t>
      </w:r>
    </w:p>
    <w:p>
      <w:pPr>
        <w:spacing w:after="80" w:before="80"/>
        <w:jc w:val="center"/>
      </w:pPr>
      <w:r>
        <w:rPr>
          <w:rFonts w:ascii="Arial" w:cs="Arial" w:eastAsia="Arial" w:hAnsi="Arial"/>
          <w:sz w:val="24"/>
          <w:szCs w:val="24"/>
        </w:rPr>
        <w:t xml:space="preserve">Wydział Zarządzania</w:t>
      </w:r>
    </w:p>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3864"/>
          <w:sz w:val="40"/>
          <w:szCs w:val="40"/>
        </w:rPr>
        <w:t xml:space="preserve">Artefakty kultury studenckiej</w:t>
      </w:r>
    </w:p>
    <w:p>
      <w:pPr>
        <w:spacing w:after="100" w:before="100"/>
        <w:jc w:val="center"/>
      </w:pPr>
      <w:r>
        <w:rPr>
          <w:rFonts w:ascii="Arial" w:cs="Arial" w:eastAsia="Arial" w:hAnsi="Arial"/>
          <w:b/>
          <w:bCs/>
          <w:color w:val="2E4D8A"/>
          <w:sz w:val="32"/>
          <w:szCs w:val="32"/>
        </w:rPr>
        <w:t xml:space="preserve">Subkultura zmotoryzowanych studentów</w:t>
      </w:r>
    </w:p>
    <w:p>
      <w:pPr>
        <w:spacing w:after="60" w:before="60"/>
        <w:jc w:val="center"/>
      </w:pPr>
      <w:r>
        <w:rPr>
          <w:rFonts w:ascii="Arial" w:cs="Arial" w:eastAsia="Arial" w:hAnsi="Arial"/>
          <w:color w:val="2E4D8A"/>
          <w:sz w:val="28"/>
          <w:szCs w:val="28"/>
        </w:rPr>
        <w:t xml:space="preserve">na parkingu Wydziału Inżynierii Środo- wiska Politechniki Lubelskiej</w:t>
      </w:r>
    </w:p>
    <w:p>
      <w:pPr>
        <w:spacing w:after="80" w:before="80"/>
      </w:pPr>
      <w:r>
        <w:t xml:space="preserve"/>
      </w:r>
    </w:p>
    <w:p>
      <w:pPr>
        <w:spacing w:after="80" w:before="80"/>
      </w:pPr>
      <w:r>
        <w:t xml:space="preserve"/>
      </w:r>
    </w:p>
    <w:p>
      <w:pPr>
        <w:spacing w:after="80" w:before="600"/>
        <w:jc w:val="center"/>
      </w:pPr>
      <w:r>
        <w:rPr>
          <w:rFonts w:ascii="Arial" w:cs="Arial" w:eastAsia="Arial" w:hAnsi="Arial"/>
          <w:i/>
          <w:iCs/>
          <w:sz w:val="22"/>
          <w:szCs w:val="22"/>
        </w:rPr>
        <w:t xml:space="preserve">Ćwiczenia terenowe — Analiza artefaktów kultury studenckiej</w:t>
      </w:r>
    </w:p>
    <w:p>
      <w:pPr>
        <w:spacing w:after="60" w:before="60"/>
        <w:jc w:val="center"/>
      </w:pPr>
      <w:r>
        <w:rPr>
          <w:rFonts w:ascii="Arial" w:cs="Arial" w:eastAsia="Arial" w:hAnsi="Arial"/>
          <w:sz w:val="22"/>
          <w:szCs w:val="22"/>
        </w:rPr>
        <w:t xml:space="preserve">Raport pisemny</w:t>
      </w:r>
    </w:p>
    <w:p>
      <w:pPr>
        <w:spacing w:after="80" w:before="80"/>
      </w:pPr>
      <w:r>
        <w:t xml:space="preserve"/>
      </w:r>
    </w:p>
    <w:p>
      <w:pPr>
        <w:spacing w:after="60" w:before="400"/>
        <w:jc w:val="center"/>
      </w:pPr>
      <w:r>
        <w:rPr>
          <w:rFonts w:ascii="Arial" w:cs="Arial" w:eastAsia="Arial" w:hAnsi="Arial"/>
          <w:sz w:val="22"/>
          <w:szCs w:val="22"/>
        </w:rPr>
        <w:t xml:space="preserve">Lublin, czerwiec 2025</w:t>
      </w:r>
    </w:p>
    <w:p>
      <w:r>
        <w:br w:type="page"/>
      </w:r>
    </w:p>
    <w:p>
      <w:pPr>
        <w:pStyle w:val="Heading1"/>
        <w:spacing w:after="200" w:before="360"/>
      </w:pPr>
      <w:r>
        <w:rPr>
          <w:rFonts w:ascii="Arial" w:cs="Arial" w:eastAsia="Arial" w:hAnsi="Arial"/>
          <w:b/>
          <w:bCs/>
          <w:sz w:val="32"/>
          <w:szCs w:val="32"/>
        </w:rPr>
        <w:t xml:space="preserve">1. Opis pola badawczego i zastosowanej metody</w:t>
      </w:r>
    </w:p>
    <w:p>
      <w:pPr>
        <w:spacing w:after="80" w:before="80"/>
      </w:pPr>
      <w:r>
        <w:t xml:space="preserve"/>
      </w:r>
    </w:p>
    <w:p>
      <w:pPr>
        <w:pStyle w:val="Heading2"/>
        <w:spacing w:after="140" w:before="280"/>
      </w:pPr>
      <w:r>
        <w:rPr>
          <w:rFonts w:ascii="Arial" w:cs="Arial" w:eastAsia="Arial" w:hAnsi="Arial"/>
          <w:b/>
          <w:bCs/>
          <w:sz w:val="26"/>
          <w:szCs w:val="26"/>
        </w:rPr>
        <w:t xml:space="preserve">1.1. Pole badawcze</w:t>
      </w:r>
    </w:p>
    <w:p>
      <w:pPr>
        <w:spacing w:after="140" w:before="100"/>
        <w:jc w:val="both"/>
      </w:pPr>
      <w:r>
        <w:rPr>
          <w:rFonts w:ascii="Arial" w:cs="Arial" w:eastAsia="Arial" w:hAnsi="Arial"/>
          <w:sz w:val="24"/>
          <w:szCs w:val="24"/>
        </w:rPr>
        <w:t xml:space="preserve">Przedmiotem niniejszego badania jest parking zlokalizowany za Wydziałem Inżynierii Środo- wiska Politechniki Lubelskiej przy ul. Nadbystrzyckiej 40B, sąsiadujący z Wydziałem Mechanicznym oraz Wydziałem Budownictwa i Architektury. Przestrzeń ta została wybrana jako pole badawcze z uwagi na jej wyjątkowy charakter: jest to strefa, w której procesy oficjalne (polityka uczelni, zarządzanie infrastrukturą) zderzają się z oddolnymi praktykami studenckimi w szczególnie wyrazisty sposób.</w:t>
      </w:r>
    </w:p>
    <w:p>
      <w:pPr>
        <w:spacing w:after="140" w:before="100"/>
        <w:jc w:val="both"/>
      </w:pPr>
      <w:r>
        <w:rPr>
          <w:rFonts w:ascii="Arial" w:cs="Arial" w:eastAsia="Arial" w:hAnsi="Arial"/>
          <w:sz w:val="24"/>
          <w:szCs w:val="24"/>
        </w:rPr>
        <w:t xml:space="preserve">Obserwacja terenowa prowadzona była przez dwa tygodnie, obejmując różne pory dnia i dni tygodnia — zarówno poranki z intensywnym ruchem, jak i popełudnia między blokami zajęć. Uzupełnieniem obserwacji była krótka ankieta rozdana użytkowni- kom parkingu oraz kwerenda źródeł cyfrowych (netografia).</w:t>
      </w:r>
    </w:p>
    <w:p>
      <w:pPr>
        <w:spacing w:after="80" w:before="80"/>
      </w:pPr>
      <w:r>
        <w:t xml:space="preserve"/>
      </w:r>
    </w:p>
    <w:p>
      <w:pPr>
        <w:pStyle w:val="Heading2"/>
        <w:spacing w:after="140" w:before="280"/>
      </w:pPr>
      <w:r>
        <w:rPr>
          <w:rFonts w:ascii="Arial" w:cs="Arial" w:eastAsia="Arial" w:hAnsi="Arial"/>
          <w:b/>
          <w:bCs/>
          <w:sz w:val="26"/>
          <w:szCs w:val="26"/>
        </w:rPr>
        <w:t xml:space="preserve">1.2. Metoda</w:t>
      </w:r>
    </w:p>
    <w:p>
      <w:pPr>
        <w:spacing w:after="140" w:before="100"/>
        <w:jc w:val="both"/>
      </w:pPr>
      <w:r>
        <w:rPr>
          <w:rFonts w:ascii="Arial" w:cs="Arial" w:eastAsia="Arial" w:hAnsi="Arial"/>
          <w:sz w:val="24"/>
          <w:szCs w:val="24"/>
        </w:rPr>
        <w:t xml:space="preserve">Badanie opiera się na trzech metodach wzajemnie się uzupełniających. Po pierwsze, obserwacja uczestnicząca: autorzy raportu, będący częścią społeczności parkingowej (użytkownikami lub obserwatorami), prowadzili systematyczny dziennik terenowy. Zapisywano czas, miejsce, krótki opis sytuacji oraz własną refleksję — zgodnie z postulatem defamiliaryzacji: spójrzenia na codzienną przestrzeń tak, jakby widziało się ją po raz pierwszy.</w:t>
      </w:r>
    </w:p>
    <w:p>
      <w:pPr>
        <w:spacing w:after="140" w:before="100"/>
        <w:jc w:val="both"/>
      </w:pPr>
      <w:r>
        <w:rPr>
          <w:rFonts w:ascii="Arial" w:cs="Arial" w:eastAsia="Arial" w:hAnsi="Arial"/>
          <w:sz w:val="24"/>
          <w:szCs w:val="24"/>
        </w:rPr>
        <w:t xml:space="preserve">Po drugie, ankieta papierowa (n=6) skierowana do losowo wybranych użytkowników parkingu. Pytania dotyczyły preferencji miejsca, częstości irytacji, znajomości normy zostawiania kartki za wycieraczką oraz dodatkowych narracji i anegdot. Mimo niewielkiej próby ankieta dostarczyła cennych danych jakościowych.</w:t>
      </w:r>
    </w:p>
    <w:p>
      <w:pPr>
        <w:spacing w:after="140" w:before="100"/>
        <w:jc w:val="both"/>
      </w:pPr>
      <w:r>
        <w:rPr>
          <w:rFonts w:ascii="Arial" w:cs="Arial" w:eastAsia="Arial" w:hAnsi="Arial"/>
          <w:sz w:val="24"/>
          <w:szCs w:val="24"/>
        </w:rPr>
        <w:t xml:space="preserve">Po trzecie, netografia — analiza cyfrowych śladów przestrzeni parkingowej: wpisów na portalu geocachingowym (opencaching.pl), komunikatów administracyjnych uczelni, danych o infrastrukturze sieci eduroam oraz miejskiego portalu informacyjnego. Każde źródło reprezentuje odmienny dyskurs i dostarcza innego rodzaju danych.</w:t>
      </w:r>
    </w:p>
    <w:p>
      <w:pPr>
        <w:spacing w:after="140" w:before="100"/>
        <w:jc w:val="both"/>
      </w:pPr>
      <w:r>
        <w:rPr>
          <w:rFonts w:ascii="Arial" w:cs="Arial" w:eastAsia="Arial" w:hAnsi="Arial"/>
          <w:sz w:val="24"/>
          <w:szCs w:val="24"/>
        </w:rPr>
        <w:t xml:space="preserve">Dane analizowano przez pryzmat trójpoziomowego modelu kultury organizacyjnej Edgara Scheina: artefakty (poziom widzialny) → deklarowane normy i wartości → podstawowe założenia (poziom niewidoczny). Klasyfikacja artefaktów następowała według trzech kategorii wyznaczonych przez instrukcję ćwiczeń: językowe, behawioralne i fizyczne.</w:t>
      </w:r>
    </w:p>
    <w:p>
      <w:r>
        <w:br w:type="page"/>
      </w:r>
    </w:p>
    <w:p>
      <w:pPr>
        <w:pStyle w:val="Heading1"/>
        <w:spacing w:after="200" w:before="360"/>
      </w:pPr>
      <w:r>
        <w:rPr>
          <w:rFonts w:ascii="Arial" w:cs="Arial" w:eastAsia="Arial" w:hAnsi="Arial"/>
          <w:b/>
          <w:bCs/>
          <w:sz w:val="32"/>
          <w:szCs w:val="32"/>
        </w:rPr>
        <w:t xml:space="preserve">2. Katalog zebranych artefaktów z klasyfikacją</w:t>
      </w:r>
    </w:p>
    <w:p>
      <w:pPr>
        <w:spacing w:after="80" w:before="80"/>
      </w:pPr>
      <w:r>
        <w:t xml:space="preserve"/>
      </w:r>
    </w:p>
    <w:p>
      <w:pPr>
        <w:pStyle w:val="Heading2"/>
        <w:spacing w:after="140" w:before="280"/>
      </w:pPr>
      <w:r>
        <w:rPr>
          <w:rFonts w:ascii="Arial" w:cs="Arial" w:eastAsia="Arial" w:hAnsi="Arial"/>
          <w:b/>
          <w:bCs/>
          <w:sz w:val="26"/>
          <w:szCs w:val="26"/>
        </w:rPr>
        <w:t xml:space="preserve">2.1. Artefakty językowe</w:t>
      </w:r>
    </w:p>
    <w:p>
      <w:pPr>
        <w:spacing w:after="80" w:before="80"/>
      </w:pPr>
      <w:r>
        <w:t xml:space="preserve"/>
      </w:r>
    </w:p>
    <w:p>
      <w:pPr>
        <w:spacing w:after="140" w:before="100"/>
        <w:jc w:val="both"/>
      </w:pPr>
      <w:r>
        <w:rPr>
          <w:rFonts w:ascii="Arial" w:cs="Arial" w:eastAsia="Arial" w:hAnsi="Arial"/>
          <w:b/>
          <w:bCs/>
          <w:sz w:val="24"/>
          <w:szCs w:val="24"/>
        </w:rPr>
        <w:t xml:space="preserve">2.1.1. Slang i słownictwo</w:t>
      </w:r>
    </w:p>
    <w:p>
      <w:pPr>
        <w:spacing w:after="140" w:before="100"/>
        <w:jc w:val="both"/>
      </w:pPr>
      <w:r>
        <w:rPr>
          <w:rFonts w:ascii="Arial" w:cs="Arial" w:eastAsia="Arial" w:hAnsi="Arial"/>
          <w:sz w:val="24"/>
          <w:szCs w:val="24"/>
        </w:rPr>
        <w:t xml:space="preserve">Podstawowym artefaktem językowym odkrytym w trakcie badania jest słowo „klepisko”, funkcjonujące jako nieoficjalna, pow- szechnie rozumiana nazwa parkingu. Termin ten pojawia się nie tylko w rozmowach między studentami, lecz także w źródłach zewnętrznych — wpływ na portal geocachingowy opencaching.pl wprost ostrzega kierowców przed wjazdem na „park- ing-klepisko” i wskazuje na realne ryzyko uszkodzenia zawieszenia pojazdu. Nazwa ta jest metaforą kondycji przestrzeni, ale też elementem budowania tożsamości grupowej.</w:t>
      </w:r>
    </w:p>
    <w:p>
      <w:pPr>
        <w:spacing w:after="140" w:before="100"/>
        <w:jc w:val="both"/>
      </w:pPr>
      <w:r>
        <w:rPr>
          <w:rFonts w:ascii="Arial" w:cs="Arial" w:eastAsia="Arial" w:hAnsi="Arial"/>
          <w:sz w:val="24"/>
          <w:szCs w:val="24"/>
        </w:rPr>
        <w:t xml:space="preserve">Rów- nież powszechne jest określenie „bolid” na studencki samochód — ironiczna nazwa nawiązująca do wyobrażenia samochodu wyścigowego, przewrotnie zastosowana do pojazdów codziennie testowanych przez wyboiste podłoże. W kontekście kulturowym „prowadząc bolida po klepisku” student wyraża jednocześnie autoironię i solidarność z grupą.</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3B5998" w:sz="1"/>
              <w:left w:val="single" w:color="3B5998" w:sz="1"/>
              <w:bottom w:val="single" w:color="3B5998" w:sz="1"/>
              <w:right w:val="single" w:color="3B5998" w:sz="1"/>
            </w:tcBorders>
            <w:shd w:fill="3B5998"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Artefakt językowy</w:t>
            </w:r>
          </w:p>
        </w:tc>
        <w:tc>
          <w:tcPr>
            <w:tcW w:type="dxa" w:w="3000"/>
            <w:tcBorders>
              <w:top w:val="single" w:color="3B5998" w:sz="1"/>
              <w:left w:val="single" w:color="3B5998" w:sz="1"/>
              <w:bottom w:val="single" w:color="3B5998" w:sz="1"/>
              <w:right w:val="single" w:color="3B5998" w:sz="1"/>
            </w:tcBorders>
            <w:shd w:fill="3B5998"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Kontekst użycia</w:t>
            </w:r>
          </w:p>
        </w:tc>
        <w:tc>
          <w:tcPr>
            <w:tcW w:type="dxa" w:w="4026"/>
            <w:tcBorders>
              <w:top w:val="single" w:color="3B5998" w:sz="1"/>
              <w:left w:val="single" w:color="3B5998" w:sz="1"/>
              <w:bottom w:val="single" w:color="3B5998" w:sz="1"/>
              <w:right w:val="single" w:color="3B5998" w:sz="1"/>
            </w:tcBorders>
            <w:shd w:fill="3B5998" w:val="clear"/>
            <w:tcMar>
              <w:top w:type="dxa" w:w="100"/>
              <w:left w:type="dxa" w:w="120"/>
              <w:bottom w:type="dxa" w:w="100"/>
              <w:right w:type="dxa" w:w="120"/>
            </w:tcMar>
            <w:vAlign w:val="center"/>
          </w:tcPr>
          <w:p>
            <w:pPr>
              <w:jc w:val="left"/>
            </w:pPr>
            <w:r>
              <w:rPr>
                <w:rFonts w:ascii="Arial" w:cs="Arial" w:eastAsia="Arial" w:hAnsi="Arial"/>
                <w:b/>
                <w:bCs/>
                <w:color w:val="FFFFFF"/>
                <w:sz w:val="22"/>
                <w:szCs w:val="22"/>
              </w:rPr>
              <w:t xml:space="preserve">Interpretacja kulturowa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„Klepisko”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Rozmowy studentów, portal geocachingowy</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Wspólna etykieta degradacji przestrzeni; marker przynależności do grupy użytkowników parkingu</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„Bolidek” / „bolid”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Nieformalne rozmowy, ankieta</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Autoironia jako mechanizm oswajania trudnych warunków infrastrukturalnych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„Wyjechać na styk”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Ankieta (respondent 5)</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Eufemistyczny opis sytuacji ekstremalnej jako codzienności; normalizacja ryzyka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„Kto się nie boi o zawieszenie”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Wpis geocachingowy</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Etos ryzyka jako kryterium przynależności do subkultury zmotoryzowanych studentów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„Co roku pomagam wyjeżdżać tej samej dziewczynie”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Ankieta (respondent 3)</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2"/>
                <w:szCs w:val="22"/>
              </w:rPr>
              <w:t xml:space="preserve">Narracja solidarnościowa; powtarzalny rytuął wzajemnej pomocy jako element subkultury</w:t>
            </w:r>
          </w:p>
        </w:tc>
      </w:tr>
    </w:tbl>
    <w:p>
      <w:pPr>
        <w:spacing w:after="80" w:before="80"/>
      </w:pPr>
      <w:r>
        <w:t xml:space="preserve"/>
      </w:r>
    </w:p>
    <w:p>
      <w:pPr>
        <w:spacing w:after="140" w:before="100"/>
        <w:jc w:val="both"/>
      </w:pPr>
      <w:r>
        <w:rPr>
          <w:rFonts w:ascii="Arial" w:cs="Arial" w:eastAsia="Arial" w:hAnsi="Arial"/>
          <w:b/>
          <w:bCs/>
          <w:sz w:val="24"/>
          <w:szCs w:val="24"/>
        </w:rPr>
        <w:t xml:space="preserve">2.1.2. Legendy i narracje parkingowe</w:t>
      </w:r>
    </w:p>
    <w:p>
      <w:pPr>
        <w:spacing w:after="140" w:before="100"/>
        <w:jc w:val="both"/>
      </w:pPr>
      <w:r>
        <w:rPr>
          <w:rFonts w:ascii="Arial" w:cs="Arial" w:eastAsia="Arial" w:hAnsi="Arial"/>
          <w:sz w:val="24"/>
          <w:szCs w:val="24"/>
        </w:rPr>
        <w:t xml:space="preserve">Ankieta ujawniła kilka krótkich narracji, które spełniają funkcję legend przekazywanych w grupie. Respondent 3 opisał sytuację, w której ktoś postawił słupek za jego zaparkowanym samochodem, zmuszając go do manewrowania na bardzo ograniczonej przestrzeni. Respondent 5 wspomniał o wyjechaniu z miejsca, gdzie z obu stron zostawało „pół centymetra”. Respondent 6 nakreślił scenę konfrontacji: „probowałyśmy wyjechaKlientć a facet na nas trąbił i poddeszłam do gościa o co mu chodzi, najpierw się wyjeżdża później wjeżdża”. Narracje te spełniają funkcję społeczną: ustalają nieformalne zasady (kto ma pierwszeństwo) i budują poczucie wspólnoty przez współdzielenie doświadczenia.</w:t>
      </w:r>
    </w:p>
    <w:p>
      <w:pPr>
        <w:spacing w:after="80" w:before="80"/>
      </w:pPr>
      <w:r>
        <w:t xml:space="preserve"/>
      </w:r>
    </w:p>
    <w:p>
      <w:pPr>
        <w:spacing w:after="140" w:before="100"/>
        <w:jc w:val="both"/>
      </w:pPr>
      <w:r>
        <w:rPr>
          <w:rFonts w:ascii="Arial" w:cs="Arial" w:eastAsia="Arial" w:hAnsi="Arial"/>
          <w:b/>
          <w:bCs/>
          <w:sz w:val="24"/>
          <w:szCs w:val="24"/>
        </w:rPr>
        <w:t xml:space="preserve">2.1.3. Normy komunikacyjne: kartka za wycieraczką</w:t>
      </w:r>
    </w:p>
    <w:p>
      <w:pPr>
        <w:spacing w:after="140" w:before="100"/>
        <w:jc w:val="both"/>
      </w:pPr>
      <w:r>
        <w:rPr>
          <w:rFonts w:ascii="Arial" w:cs="Arial" w:eastAsia="Arial" w:hAnsi="Arial"/>
          <w:sz w:val="24"/>
          <w:szCs w:val="24"/>
        </w:rPr>
        <w:t xml:space="preserve">Szczególnie interesującym artefaktem językowym jest praktyka zostawiania kartki z numerem telefonu za wycieraczką przy zastawieniu innego pojazdu. Treść takiej kartki (potwierdzana przez respondentów 3, 4 i 6) jest zawsze tą samą: numer telefonu — nic więcej. Brak słów przeprosin czy wyjaśnień świadczy o istnieniu dorozumianego kodu, rozumianego przez wszystkich uczestników. Sam fakt posiadania kartki i zostawienia jej jest wystarczającym komunikatem spełniającym normę.</w:t>
      </w:r>
    </w:p>
    <w:p>
      <w:pPr>
        <w:spacing w:after="140" w:before="100"/>
        <w:jc w:val="both"/>
      </w:pPr>
      <w:r>
        <w:rPr>
          <w:rFonts w:ascii="Arial" w:cs="Arial" w:eastAsia="Arial" w:hAnsi="Arial"/>
          <w:sz w:val="24"/>
          <w:szCs w:val="24"/>
        </w:rPr>
        <w:t xml:space="preserve">Respondenci byli w tej kwestii podzieleni — część akceptuje tę normę („nie ma wyjścia”, „Lepiej niż kogoś zastawić i nie zostawić kartki z numerem”), inni ją odrzucają („nie” jako krótka i jednoznaczna odpowiedź). Ten dysonans ujawnia moment, w którym norma subkultury jest w trakcie negocjacji.</w:t>
      </w:r>
    </w:p>
    <w:p>
      <w:pPr>
        <w:spacing w:after="80" w:before="80"/>
      </w:pPr>
      <w:r>
        <w:t xml:space="preserve"/>
      </w:r>
    </w:p>
    <w:p>
      <w:pPr>
        <w:pStyle w:val="Heading2"/>
        <w:spacing w:after="140" w:before="280"/>
      </w:pPr>
      <w:r>
        <w:rPr>
          <w:rFonts w:ascii="Arial" w:cs="Arial" w:eastAsia="Arial" w:hAnsi="Arial"/>
          <w:b/>
          <w:bCs/>
          <w:sz w:val="26"/>
          <w:szCs w:val="26"/>
        </w:rPr>
        <w:t xml:space="preserve">2.2. Artefakty behawioralne</w:t>
      </w:r>
    </w:p>
    <w:p>
      <w:pPr>
        <w:spacing w:after="80" w:before="80"/>
      </w:pPr>
      <w:r>
        <w:t xml:space="preserve"/>
      </w:r>
    </w:p>
    <w:p>
      <w:pPr>
        <w:spacing w:after="140" w:before="100"/>
        <w:jc w:val="both"/>
      </w:pPr>
      <w:r>
        <w:rPr>
          <w:rFonts w:ascii="Arial" w:cs="Arial" w:eastAsia="Arial" w:hAnsi="Arial"/>
          <w:b/>
          <w:bCs/>
          <w:sz w:val="24"/>
          <w:szCs w:val="24"/>
        </w:rPr>
        <w:t xml:space="preserve">2.2.1. Rytualne zajmowanie przestrzeni</w:t>
      </w:r>
    </w:p>
    <w:p>
      <w:pPr>
        <w:spacing w:after="140" w:before="100"/>
        <w:jc w:val="both"/>
      </w:pPr>
      <w:r>
        <w:rPr>
          <w:rFonts w:ascii="Arial" w:cs="Arial" w:eastAsia="Arial" w:hAnsi="Arial"/>
          <w:sz w:val="24"/>
          <w:szCs w:val="24"/>
        </w:rPr>
        <w:t xml:space="preserve">Obserwacja terenowa ujawniła wyraziste wzorce zachowania przy zajmowaniu miejsc parkingowych. Preferowane są miejsca przy „drzewkach obok schodów” (respondent 2), „lewo na początku” (respondent 3) lub „tutaj blisko” (respondent 6) — a więc przy wejściach do budynków. Respondenci posługują się deterministycznym kryterium: „takie z którego da się łatwo wyjechać”. Hierarchia miejsc nie jest narzucona żadnym regulaminem — jest wynikiem organicznej negocjacji w grupie.</w:t>
      </w:r>
    </w:p>
    <w:p>
      <w:pPr>
        <w:spacing w:after="80" w:before="80"/>
      </w:pPr>
      <w:r>
        <w:t xml:space="preserve"/>
      </w:r>
    </w:p>
    <w:p>
      <w:pPr>
        <w:spacing w:after="140" w:before="100"/>
        <w:jc w:val="both"/>
      </w:pPr>
      <w:r>
        <w:rPr>
          <w:rFonts w:ascii="Arial" w:cs="Arial" w:eastAsia="Arial" w:hAnsi="Arial"/>
          <w:b/>
          <w:bCs/>
          <w:sz w:val="24"/>
          <w:szCs w:val="24"/>
        </w:rPr>
        <w:t xml:space="preserve">2.2.2. Rytuął samopomocy</w:t>
      </w:r>
    </w:p>
    <w:p>
      <w:pPr>
        <w:spacing w:after="140" w:before="100"/>
        <w:jc w:val="both"/>
      </w:pPr>
      <w:r>
        <w:rPr>
          <w:rFonts w:ascii="Arial" w:cs="Arial" w:eastAsia="Arial" w:hAnsi="Arial"/>
          <w:sz w:val="24"/>
          <w:szCs w:val="24"/>
        </w:rPr>
        <w:t xml:space="preserve">Jednym z najciekawszych artefaktów behawioralnych jest powtarzający się rytuął pomocy przy wyjeżdżaniu. Respondent 3 wprost piszEl: „co roku pomagam wyjeżdżać tej samej dziewczynie, bo nie umie wyjeżdżać”. Jest to działanie bezinteresowne, powtarzające się cyklicznie, tworzące nieformalną więź między uczestnikami. W modelu Scheina tego rodzaju zachowanie jest przejawem głębszej normy: na tym parkingu przetrwasz, ale wymaga to solidarności.</w:t>
      </w:r>
    </w:p>
    <w:p>
      <w:pPr>
        <w:spacing w:after="80" w:before="80"/>
      </w:pPr>
      <w:r>
        <w:t xml:space="preserve"/>
      </w:r>
    </w:p>
    <w:p>
      <w:pPr>
        <w:spacing w:after="140" w:before="100"/>
        <w:jc w:val="both"/>
      </w:pPr>
      <w:r>
        <w:rPr>
          <w:rFonts w:ascii="Arial" w:cs="Arial" w:eastAsia="Arial" w:hAnsi="Arial"/>
          <w:b/>
          <w:bCs/>
          <w:sz w:val="24"/>
          <w:szCs w:val="24"/>
        </w:rPr>
        <w:t xml:space="preserve">2.2.3. Rytuął irytacji i konfrontacji</w:t>
      </w:r>
    </w:p>
    <w:p>
      <w:pPr>
        <w:spacing w:after="140" w:before="100"/>
        <w:jc w:val="both"/>
      </w:pPr>
      <w:r>
        <w:rPr>
          <w:rFonts w:ascii="Arial" w:cs="Arial" w:eastAsia="Arial" w:hAnsi="Arial"/>
          <w:sz w:val="24"/>
          <w:szCs w:val="24"/>
        </w:rPr>
        <w:t xml:space="preserve">Respondenci byli pytani o ostatni moment irytacji na parkingu. Odpowiedzi oscylowały między „w zeszłym tygodniu” a „codziennie” (respondent 6: „codziennie, źle zaparkowanych samochód”). Irytacja jest zatem elementem stałym, niemal wpisanym w rytm korzystania z przestrzeni. Respondent 6 opisał aktywną konfrontację — podejście do kierowcy trąbiącego. To zachowanie wyraża przekonanie o własnych prawach w tej przestrzeni i wolę ich egzekwowania.</w:t>
      </w:r>
    </w:p>
    <w:p>
      <w:pPr>
        <w:spacing w:after="140" w:before="100"/>
        <w:jc w:val="both"/>
      </w:pPr>
      <w:r>
        <w:rPr>
          <w:rFonts w:ascii="Arial" w:cs="Arial" w:eastAsia="Arial" w:hAnsi="Arial"/>
          <w:sz w:val="24"/>
          <w:szCs w:val="24"/>
        </w:rPr>
        <w:t xml:space="preserve">Osobną kategorią jest rytuął związany z wymuszonymi wyjściami: całkowite zamknięcie parkingu na czas Juwenaliów (od nocy z 28/29 kwietnia do 13 maja 2026), Pikniku Olimpijskiego PKOL (21–24 maja) i Pikniku Rodzinnego ZUL (28–31 maja). Każde takie zdarzenie wymusza na grupie aktywację mechanizmów obronnych i adaptacyjnych: przekazywanie informacji o zmianach drogą nieoficjalnych kanałów komunikacji oraz sprawne dekodowanie nowych układów stref.</w:t>
      </w:r>
    </w:p>
    <w:p>
      <w:pPr>
        <w:spacing w:after="80" w:before="80"/>
      </w:pPr>
      <w:r>
        <w:t xml:space="preserve"/>
      </w:r>
    </w:p>
    <w:p>
      <w:pPr>
        <w:spacing w:after="140" w:before="100"/>
        <w:jc w:val="both"/>
      </w:pPr>
      <w:r>
        <w:rPr>
          <w:rFonts w:ascii="Arial" w:cs="Arial" w:eastAsia="Arial" w:hAnsi="Arial"/>
          <w:b/>
          <w:bCs/>
          <w:sz w:val="24"/>
          <w:szCs w:val="24"/>
        </w:rPr>
        <w:t xml:space="preserve">2.2.4. Hybry- dyzacja: samochód jako przestrzeń akademicka</w:t>
      </w:r>
    </w:p>
    <w:p>
      <w:pPr>
        <w:spacing w:after="140" w:before="100"/>
        <w:jc w:val="both"/>
      </w:pPr>
      <w:r>
        <w:rPr>
          <w:rFonts w:ascii="Arial" w:cs="Arial" w:eastAsia="Arial" w:hAnsi="Arial"/>
          <w:sz w:val="24"/>
          <w:szCs w:val="24"/>
        </w:rPr>
        <w:t xml:space="preserve">Dzięki zasięgowi sieci eduroam docierającej do zewnętrznych punktów na parkingach studenci używają wnętrz swoich pojazdów jako przestrzeni nauki (pisanie pracy dyplomowej, powtarzanie przed kolokwium), regeneracji (konsumpcja treści rozrywkowych) oraz socjalizacji (spotkania małych grup). Samochód zaparkowany na „klepisku” staje się prywatnym przedłużeniem infrastruktury dydaktycznej uczelni.</w:t>
      </w:r>
    </w:p>
    <w:p>
      <w:pPr>
        <w:spacing w:after="80" w:before="80"/>
      </w:pPr>
      <w:r>
        <w:t xml:space="preserve"/>
      </w:r>
    </w:p>
    <w:p>
      <w:pPr>
        <w:pStyle w:val="Heading2"/>
        <w:spacing w:after="140" w:before="280"/>
      </w:pPr>
      <w:r>
        <w:rPr>
          <w:rFonts w:ascii="Arial" w:cs="Arial" w:eastAsia="Arial" w:hAnsi="Arial"/>
          <w:b/>
          <w:bCs/>
          <w:sz w:val="26"/>
          <w:szCs w:val="26"/>
        </w:rPr>
        <w:t xml:space="preserve">2.3. Artefakty fizyczne</w:t>
      </w:r>
    </w:p>
    <w:p>
      <w:pPr>
        <w:spacing w:after="80" w:before="80"/>
      </w:pPr>
      <w:r>
        <w:t xml:space="preserve"/>
      </w:r>
    </w:p>
    <w:p>
      <w:pPr>
        <w:spacing w:after="140" w:before="100"/>
        <w:jc w:val="both"/>
      </w:pPr>
      <w:r>
        <w:rPr>
          <w:rFonts w:ascii="Arial" w:cs="Arial" w:eastAsia="Arial" w:hAnsi="Arial"/>
          <w:b/>
          <w:bCs/>
          <w:sz w:val="24"/>
          <w:szCs w:val="24"/>
        </w:rPr>
        <w:t xml:space="preserve">2.3.1. Powierzchnia: klepisko jako symbol</w:t>
      </w:r>
    </w:p>
    <w:p>
      <w:pPr>
        <w:spacing w:after="140" w:before="100"/>
        <w:jc w:val="both"/>
      </w:pPr>
      <w:r>
        <w:rPr>
          <w:rFonts w:ascii="Arial" w:cs="Arial" w:eastAsia="Arial" w:hAnsi="Arial"/>
          <w:sz w:val="24"/>
          <w:szCs w:val="24"/>
        </w:rPr>
        <w:t xml:space="preserve">Najbardziej oczywistym i jednocześnie najbardziej znaczącym artefaktem fizycznym jest stan nawierzchni parkingu. Brak asfaltu, wyboiste podłoże, brak wymalowanych linii poziomych i brak szlabanów — wszystko to odwzorowuje się nie tylko w realnych trudnościach (ryzyko uszkodzenia zawieszenia) lecz także w narracji kulturowej. „Klepisko” nie jest tylko nazwą — jest symbolem stosunku instytucji do potrzeb studentów.</w:t>
      </w:r>
    </w:p>
    <w:p>
      <w:pPr>
        <w:spacing w:after="80" w:before="80"/>
      </w:pPr>
      <w:r>
        <w:t xml:space="preserve"/>
      </w:r>
    </w:p>
    <w:p>
      <w:pPr>
        <w:spacing w:after="140" w:before="100"/>
        <w:jc w:val="both"/>
      </w:pPr>
      <w:r>
        <w:rPr>
          <w:rFonts w:ascii="Arial" w:cs="Arial" w:eastAsia="Arial" w:hAnsi="Arial"/>
          <w:b/>
          <w:bCs/>
          <w:sz w:val="24"/>
          <w:szCs w:val="24"/>
        </w:rPr>
        <w:t xml:space="preserve">2.3.2. Kartka z numerem telefonu</w:t>
      </w:r>
    </w:p>
    <w:p>
      <w:pPr>
        <w:spacing w:after="140" w:before="100"/>
        <w:jc w:val="both"/>
      </w:pPr>
      <w:r>
        <w:rPr>
          <w:rFonts w:ascii="Arial" w:cs="Arial" w:eastAsia="Arial" w:hAnsi="Arial"/>
          <w:sz w:val="24"/>
          <w:szCs w:val="24"/>
        </w:rPr>
        <w:t xml:space="preserve">Materialna kartka zostawiana za wycieraczką przy zastawieniu to drobny, lecz niezwykle wymowny artefakt fizyczny. Jej istnienie zakłada posiadanie kartki i długopisu w samochodzie, świadomość normy oraz wolę jej przestrzegania (lub nie). Treść kartki — wyłącznie numer telefonu — jest zredukowana do minimum. Jest to fizyczny nośnik niepisanego kodeksu parkingowego.</w:t>
      </w:r>
    </w:p>
    <w:p>
      <w:pPr>
        <w:spacing w:after="80" w:before="80"/>
      </w:pPr>
      <w:r>
        <w:t xml:space="preserve"/>
      </w:r>
    </w:p>
    <w:p>
      <w:pPr>
        <w:spacing w:after="140" w:before="100"/>
        <w:jc w:val="both"/>
      </w:pPr>
      <w:r>
        <w:rPr>
          <w:rFonts w:ascii="Arial" w:cs="Arial" w:eastAsia="Arial" w:hAnsi="Arial"/>
          <w:b/>
          <w:bCs/>
          <w:sz w:val="24"/>
          <w:szCs w:val="24"/>
        </w:rPr>
        <w:t xml:space="preserve">2.3.3. Słupki i przeszkody tymczasowe</w:t>
      </w:r>
    </w:p>
    <w:p>
      <w:pPr>
        <w:spacing w:after="140" w:before="100"/>
        <w:jc w:val="both"/>
      </w:pPr>
      <w:r>
        <w:rPr>
          <w:rFonts w:ascii="Arial" w:cs="Arial" w:eastAsia="Arial" w:hAnsi="Arial"/>
          <w:sz w:val="24"/>
          <w:szCs w:val="24"/>
        </w:rPr>
        <w:t xml:space="preserve">Ankietowany respondent 3 opisał sytuację, w której ktoś postawił słupek za jego samochodem w czasie gdy był na zajęciach. Słupki, pachniki drogowe, łańcuchy — to fizyczne narzędzia terytorializacji, ktörymi użytkownicy wyznaczają i chronią swoje ulubione miejsca.</w:t>
      </w:r>
    </w:p>
    <w:p>
      <w:pPr>
        <w:spacing w:after="80" w:before="80"/>
      </w:pPr>
      <w:r>
        <w:t xml:space="preserve"/>
      </w:r>
    </w:p>
    <w:p>
      <w:pPr>
        <w:spacing w:after="140" w:before="100"/>
        <w:jc w:val="both"/>
      </w:pPr>
      <w:r>
        <w:rPr>
          <w:rFonts w:ascii="Arial" w:cs="Arial" w:eastAsia="Arial" w:hAnsi="Arial"/>
          <w:b/>
          <w:bCs/>
          <w:sz w:val="24"/>
          <w:szCs w:val="24"/>
        </w:rPr>
        <w:t xml:space="preserve">2.3.4. Banery i oznakowanie administracyjne</w:t>
      </w:r>
    </w:p>
    <w:p>
      <w:pPr>
        <w:spacing w:after="140" w:before="100"/>
        <w:jc w:val="both"/>
      </w:pPr>
      <w:r>
        <w:rPr>
          <w:rFonts w:ascii="Arial" w:cs="Arial" w:eastAsia="Arial" w:hAnsi="Arial"/>
          <w:sz w:val="24"/>
          <w:szCs w:val="24"/>
        </w:rPr>
        <w:t xml:space="preserve">W czasie ingerencji eventowych pojawiają się fizyczne oznaczenia: tablica z informacją o wyłączeniu parkingu, podział na strefę czerwoną (zamkniętą) i żółtą (dostępną dla studentów), oznaczenie wjazdu przez Bramę nr 2 przy przepompowni MPWiK. Te artefakty fizyczne są jednocześnie artefaktami językowymi — ich język jest nakazowy i bezosobowy, kontrastuje z kolokwialnym językiem społeczności.</w:t>
      </w:r>
    </w:p>
    <w:p>
      <w:pPr>
        <w:spacing w:after="80" w:before="80"/>
      </w:pPr>
      <w:r>
        <w:t xml:space="preserve"/>
      </w:r>
    </w:p>
    <w:p>
      <w:pPr>
        <w:spacing w:after="140" w:before="100"/>
        <w:jc w:val="both"/>
      </w:pPr>
      <w:r>
        <w:rPr>
          <w:rFonts w:ascii="Arial" w:cs="Arial" w:eastAsia="Arial" w:hAnsi="Arial"/>
          <w:b/>
          <w:bCs/>
          <w:sz w:val="24"/>
          <w:szCs w:val="24"/>
        </w:rPr>
        <w:t xml:space="preserve">2.3.5. Infrastruktura cyfrowa: punkty dostępu eduroam</w:t>
      </w:r>
    </w:p>
    <w:p>
      <w:pPr>
        <w:spacing w:after="140" w:before="100"/>
        <w:jc w:val="both"/>
      </w:pPr>
      <w:r>
        <w:rPr>
          <w:rFonts w:ascii="Arial" w:cs="Arial" w:eastAsia="Arial" w:hAnsi="Arial"/>
          <w:sz w:val="24"/>
          <w:szCs w:val="24"/>
        </w:rPr>
        <w:t xml:space="preserve">Choć niewidoczna gołym okiem, bezprzewodowa sieć eduroam jest realnym artefaktem fizycznym przestrzeni parkingowej. Dane techniczne wskazują na celowe rozmieszczenie punktów dostępowych przy ul. Nadbystrzyckiej 36 (parking przed Wydziałem Mechanicznym i patio) oraz przy ul. Nadbystrzyckiej 36b (tereny zielone sąsiadujące z parkingiem). Ten artefakt przekształca parking z czysto logistycznej przestrzeni w strefę semipubliczną, w której studenci mogą pracować, uczyć się i spędzać czas.</w:t>
      </w:r>
    </w:p>
    <w:p>
      <w:r>
        <w:br w:type="page"/>
      </w:r>
    </w:p>
    <w:p>
      <w:pPr>
        <w:pStyle w:val="Heading1"/>
        <w:spacing w:after="200" w:before="360"/>
      </w:pPr>
      <w:r>
        <w:rPr>
          <w:rFonts w:ascii="Arial" w:cs="Arial" w:eastAsia="Arial" w:hAnsi="Arial"/>
          <w:b/>
          <w:bCs/>
          <w:sz w:val="32"/>
          <w:szCs w:val="32"/>
        </w:rPr>
        <w:t xml:space="preserve">3. Interpretacja: normy, wartości i założenia podstawowe</w:t>
      </w:r>
    </w:p>
    <w:p>
      <w:pPr>
        <w:spacing w:after="80" w:before="80"/>
      </w:pPr>
      <w:r>
        <w:t xml:space="preserve"/>
      </w:r>
    </w:p>
    <w:p>
      <w:pPr>
        <w:pStyle w:val="Heading2"/>
        <w:spacing w:after="140" w:before="280"/>
      </w:pPr>
      <w:r>
        <w:rPr>
          <w:rFonts w:ascii="Arial" w:cs="Arial" w:eastAsia="Arial" w:hAnsi="Arial"/>
          <w:b/>
          <w:bCs/>
          <w:sz w:val="26"/>
          <w:szCs w:val="26"/>
        </w:rPr>
        <w:t xml:space="preserve">3.1. Poziom pierwszy modelu Scheina: Artefakty</w:t>
      </w:r>
    </w:p>
    <w:p>
      <w:pPr>
        <w:spacing w:after="140" w:before="100"/>
        <w:jc w:val="both"/>
      </w:pPr>
      <w:r>
        <w:rPr>
          <w:rFonts w:ascii="Arial" w:cs="Arial" w:eastAsia="Arial" w:hAnsi="Arial"/>
          <w:sz w:val="24"/>
          <w:szCs w:val="24"/>
        </w:rPr>
        <w:t xml:space="preserve">Zebrane artefakty składają się na spójny obraz. Na poziomie fizycznym dominuje koegzystencja zdegradowanej nawierzchni „klepiska” z zaawansową infrastrukturą cyfrową eduroam. Na poziomie językowym — ironiczny slang („bolid”, „klepisko”) budujący dystans wobec trudnych warunków. Na poziomie behawioralnym — rytuały samopomocy, norma kartki, cykliczne adaptacje do wymuszen eventowych.</w:t>
      </w:r>
    </w:p>
    <w:p>
      <w:pPr>
        <w:spacing w:after="80" w:before="80"/>
      </w:pPr>
      <w:r>
        <w:t xml:space="preserve"/>
      </w:r>
    </w:p>
    <w:p>
      <w:pPr>
        <w:pStyle w:val="Heading2"/>
        <w:spacing w:after="140" w:before="280"/>
      </w:pPr>
      <w:r>
        <w:rPr>
          <w:rFonts w:ascii="Arial" w:cs="Arial" w:eastAsia="Arial" w:hAnsi="Arial"/>
          <w:b/>
          <w:bCs/>
          <w:sz w:val="26"/>
          <w:szCs w:val="26"/>
        </w:rPr>
        <w:t xml:space="preserve">3.2. Poziom drugi: Normy i wartości deklarowane</w:t>
      </w:r>
    </w:p>
    <w:p>
      <w:pPr>
        <w:spacing w:after="140" w:before="100"/>
        <w:jc w:val="both"/>
      </w:pPr>
      <w:r>
        <w:rPr>
          <w:rFonts w:ascii="Arial" w:cs="Arial" w:eastAsia="Arial" w:hAnsi="Arial"/>
          <w:sz w:val="24"/>
          <w:szCs w:val="24"/>
        </w:rPr>
        <w:t xml:space="preserve">Z analizy artefaktów wyłania się kilka norm deklarowanych przez subkulturę:</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Norma wzajemności: jeśli zastawiasz, zostaw kartkę. Choć nie jest powszechnie akceptowana, stanowi punkt odniesienia dla oceny zachowań innych.</w:t>
      </w:r>
    </w:p>
    <w:p>
      <w:pPr>
        <w:pStyle w:val="ListParagraph"/>
        <w:numPr>
          <w:ilvl w:val="0"/>
          <w:numId w:val="2"/>
        </w:numPr>
        <w:spacing w:after="60" w:before="60"/>
      </w:pPr>
      <w:r>
        <w:rPr>
          <w:rFonts w:ascii="Arial" w:cs="Arial" w:eastAsia="Arial" w:hAnsi="Arial"/>
          <w:sz w:val="24"/>
          <w:szCs w:val="24"/>
        </w:rPr>
        <w:t xml:space="preserve">Norma terytorialna: każdy ma swoje ulubione miejsce, choć nikt nie ma do niego formalnych praw.</w:t>
      </w:r>
    </w:p>
    <w:p>
      <w:pPr>
        <w:pStyle w:val="ListParagraph"/>
        <w:numPr>
          <w:ilvl w:val="0"/>
          <w:numId w:val="2"/>
        </w:numPr>
        <w:spacing w:after="60" w:before="60"/>
      </w:pPr>
      <w:r>
        <w:rPr>
          <w:rFonts w:ascii="Arial" w:cs="Arial" w:eastAsia="Arial" w:hAnsi="Arial"/>
          <w:sz w:val="24"/>
          <w:szCs w:val="24"/>
        </w:rPr>
        <w:t xml:space="preserve">Norma solidarności: pomagasz sąsiadowi wyjechaKlientć, bo sam możesz potrzebować pomocy.</w:t>
      </w:r>
    </w:p>
    <w:p>
      <w:pPr>
        <w:pStyle w:val="ListParagraph"/>
        <w:numPr>
          <w:ilvl w:val="0"/>
          <w:numId w:val="2"/>
        </w:numPr>
        <w:spacing w:after="60" w:before="60"/>
      </w:pPr>
      <w:r>
        <w:rPr>
          <w:rFonts w:ascii="Arial" w:cs="Arial" w:eastAsia="Arial" w:hAnsi="Arial"/>
          <w:sz w:val="24"/>
          <w:szCs w:val="24"/>
        </w:rPr>
        <w:t xml:space="preserve">Norma adaptacji: wyjście zamknięte? Szybko dowiadujesz się przez nieoficjalne kanały i wchodzisz przez Bramę nr 2.</w:t>
      </w:r>
    </w:p>
    <w:p>
      <w:pPr>
        <w:spacing w:after="80" w:before="80"/>
      </w:pPr>
      <w:r>
        <w:t xml:space="preserve"/>
      </w:r>
    </w:p>
    <w:p>
      <w:pPr>
        <w:spacing w:after="140" w:before="100"/>
        <w:jc w:val="both"/>
      </w:pPr>
      <w:r>
        <w:rPr>
          <w:rFonts w:ascii="Arial" w:cs="Arial" w:eastAsia="Arial" w:hAnsi="Arial"/>
          <w:sz w:val="24"/>
          <w:szCs w:val="24"/>
        </w:rPr>
        <w:t xml:space="preserve">Jednocześnie na poziomie deklarowanym widoczny jest głęboki dysonans między instytucją a studentami. Uczelnia deklaruje (w materiałach rekrutacyjnych, na miejskim portalu promocyjnym) komfortowy, nowoczesny kampus. W rzeczywistości przestrzeń studencka jest cyklicznie zawaszczana na rzecz zewnętrznych imprez (Juwenalia, Piknik Olimpijski PKOL, Piknik Rodzinny ZUL), a inwestycje infrastrukturalne nie obejmują nawierzchni parkingowej. Studenci ponoszą wysokie koszty edukacji i administracji (opłata rekrutacyjna 85–150 zł, opłata za powtarzanie egzaminu 200 zł, miejsce w akademiku od 750 zł/mies.), lecz podstawowe potrzeby logistyczne są marginalizowane.</w:t>
      </w:r>
    </w:p>
    <w:p>
      <w:pPr>
        <w:spacing w:after="80" w:before="80"/>
      </w:pPr>
      <w:r>
        <w:t xml:space="preserve"/>
      </w:r>
    </w:p>
    <w:p>
      <w:pPr>
        <w:pStyle w:val="Heading2"/>
        <w:spacing w:after="140" w:before="280"/>
      </w:pPr>
      <w:r>
        <w:rPr>
          <w:rFonts w:ascii="Arial" w:cs="Arial" w:eastAsia="Arial" w:hAnsi="Arial"/>
          <w:b/>
          <w:bCs/>
          <w:sz w:val="26"/>
          <w:szCs w:val="26"/>
        </w:rPr>
        <w:t xml:space="preserve">3.3. Poziom trzeci: Założenia podstawowe</w:t>
      </w:r>
    </w:p>
    <w:p>
      <w:pPr>
        <w:spacing w:after="140" w:before="100"/>
        <w:jc w:val="both"/>
      </w:pPr>
      <w:r>
        <w:rPr>
          <w:rFonts w:ascii="Arial" w:cs="Arial" w:eastAsia="Arial" w:hAnsi="Arial"/>
          <w:sz w:val="24"/>
          <w:szCs w:val="24"/>
        </w:rPr>
        <w:t xml:space="preserve">Najgłębszy poziom modelu Scheina — założenia podstawowe — dają się określić następująco:</w:t>
      </w:r>
    </w:p>
    <w:p>
      <w:pPr>
        <w:spacing w:after="80" w:before="80"/>
      </w:pPr>
      <w:r>
        <w:t xml:space="preserve"/>
      </w:r>
    </w:p>
    <w:p>
      <w:pPr>
        <w:spacing w:after="140" w:before="100"/>
        <w:jc w:val="both"/>
      </w:pPr>
      <w:r>
        <w:rPr>
          <w:rFonts w:ascii="Arial" w:cs="Arial" w:eastAsia="Arial" w:hAnsi="Arial"/>
          <w:b/>
          <w:bCs/>
          <w:sz w:val="24"/>
          <w:szCs w:val="24"/>
        </w:rPr>
        <w:t xml:space="preserve">Po stronie instytucji:</w:t>
      </w:r>
    </w:p>
    <w:p>
      <w:pPr>
        <w:pStyle w:val="ListParagraph"/>
        <w:numPr>
          <w:ilvl w:val="0"/>
          <w:numId w:val="2"/>
        </w:numPr>
        <w:spacing w:after="60" w:before="60"/>
      </w:pPr>
      <w:r>
        <w:rPr>
          <w:rFonts w:ascii="Arial" w:cs="Arial" w:eastAsia="Arial" w:hAnsi="Arial"/>
          <w:sz w:val="24"/>
          <w:szCs w:val="24"/>
        </w:rPr>
        <w:t xml:space="preserve">Student jest elastycznym odbiorcą usług, który powinien bezkrytycznie dostosować się do decyzji administracyjnych i niedomóg infrastrukturalnych.</w:t>
      </w:r>
    </w:p>
    <w:p>
      <w:pPr>
        <w:pStyle w:val="ListParagraph"/>
        <w:numPr>
          <w:ilvl w:val="0"/>
          <w:numId w:val="2"/>
        </w:numPr>
        <w:spacing w:after="60" w:before="60"/>
      </w:pPr>
      <w:r>
        <w:rPr>
          <w:rFonts w:ascii="Arial" w:cs="Arial" w:eastAsia="Arial" w:hAnsi="Arial"/>
          <w:sz w:val="24"/>
          <w:szCs w:val="24"/>
        </w:rPr>
        <w:t xml:space="preserve">Przestrzeń studencka jest zasobem elastycznym, podporządkowanym celom wizerunkowym i komercyjnym instytucji.</w:t>
      </w:r>
    </w:p>
    <w:p>
      <w:pPr>
        <w:spacing w:after="80" w:before="80"/>
      </w:pPr>
      <w:r>
        <w:t xml:space="preserve"/>
      </w:r>
    </w:p>
    <w:p>
      <w:pPr>
        <w:spacing w:after="140" w:before="100"/>
        <w:jc w:val="both"/>
      </w:pPr>
      <w:r>
        <w:rPr>
          <w:rFonts w:ascii="Arial" w:cs="Arial" w:eastAsia="Arial" w:hAnsi="Arial"/>
          <w:b/>
          <w:bCs/>
          <w:sz w:val="24"/>
          <w:szCs w:val="24"/>
        </w:rPr>
        <w:t xml:space="preserve">Po stronie studentów:</w:t>
      </w:r>
    </w:p>
    <w:p>
      <w:pPr>
        <w:pStyle w:val="ListParagraph"/>
        <w:numPr>
          <w:ilvl w:val="0"/>
          <w:numId w:val="2"/>
        </w:numPr>
        <w:spacing w:after="60" w:before="60"/>
      </w:pPr>
      <w:r>
        <w:rPr>
          <w:rFonts w:ascii="Arial" w:cs="Arial" w:eastAsia="Arial" w:hAnsi="Arial"/>
          <w:sz w:val="24"/>
          <w:szCs w:val="24"/>
        </w:rPr>
        <w:t xml:space="preserve">Instytucja nie zaopiekuje się Twoimi codziennymi potrzebami — musisz radzić sobie sam lub z grupą.</w:t>
      </w:r>
    </w:p>
    <w:p>
      <w:pPr>
        <w:pStyle w:val="ListParagraph"/>
        <w:numPr>
          <w:ilvl w:val="0"/>
          <w:numId w:val="2"/>
        </w:numPr>
        <w:spacing w:after="60" w:before="60"/>
      </w:pPr>
      <w:r>
        <w:rPr>
          <w:rFonts w:ascii="Arial" w:cs="Arial" w:eastAsia="Arial" w:hAnsi="Arial"/>
          <w:sz w:val="24"/>
          <w:szCs w:val="24"/>
        </w:rPr>
        <w:t xml:space="preserve">Parking to przestrzeń wolnościowa: brak formalnej kontroli jest darem, nie defektem. Umożliwia nieszkrpfowaną socjalizację i budowanie solidarności.</w:t>
      </w:r>
    </w:p>
    <w:p>
      <w:pPr>
        <w:pStyle w:val="ListParagraph"/>
        <w:numPr>
          <w:ilvl w:val="0"/>
          <w:numId w:val="2"/>
        </w:numPr>
        <w:spacing w:after="60" w:before="60"/>
      </w:pPr>
      <w:r>
        <w:rPr>
          <w:rFonts w:ascii="Arial" w:cs="Arial" w:eastAsia="Arial" w:hAnsi="Arial"/>
          <w:sz w:val="24"/>
          <w:szCs w:val="24"/>
        </w:rPr>
        <w:t xml:space="preserve">Ironia jest mechanizmem przetrwania: oswaja trudne warunki i konsoliduje grupę.</w:t>
      </w:r>
    </w:p>
    <w:p>
      <w:pPr>
        <w:spacing w:after="80" w:before="80"/>
      </w:pPr>
      <w:r>
        <w:t xml:space="preserve"/>
      </w:r>
    </w:p>
    <w:p>
      <w:pPr>
        <w:spacing w:after="140" w:before="100"/>
        <w:jc w:val="both"/>
      </w:pPr>
      <w:r>
        <w:rPr>
          <w:rFonts w:ascii="Arial" w:cs="Arial" w:eastAsia="Arial" w:hAnsi="Arial"/>
          <w:sz w:val="24"/>
          <w:szCs w:val="24"/>
        </w:rPr>
        <w:t xml:space="preserve">Parking „klepisko” jawi się zatem jako przestrzeń dynamicznego oporu i adaptacji. Subkultura zmotoryzowanych studentów Politechniki Lubelskiej, ukształtowana na wyboistym gruncie za Wydziałem Inżynierii Środo- wiska, udowadnia, że kultura organizacyjna nie jest monolitem projektowanym w gabinetach rektorskich — jest codziennie negocjowana i współtworzona na zderzeniu rygorystycznych procedur finansowych, technologii bezprzewodowych oraz nieformalnych rytułów przetrwania.</w:t>
      </w:r>
    </w:p>
    <w:p>
      <w:r>
        <w:br w:type="page"/>
      </w:r>
    </w:p>
    <w:p>
      <w:pPr>
        <w:pStyle w:val="Heading1"/>
        <w:spacing w:after="200" w:before="360"/>
      </w:pPr>
      <w:r>
        <w:rPr>
          <w:rFonts w:ascii="Arial" w:cs="Arial" w:eastAsia="Arial" w:hAnsi="Arial"/>
          <w:b/>
          <w:bCs/>
          <w:sz w:val="32"/>
          <w:szCs w:val="32"/>
        </w:rPr>
        <w:t xml:space="preserve">4. Refleksja metodologiczna i etyczna</w:t>
      </w:r>
    </w:p>
    <w:p>
      <w:pPr>
        <w:spacing w:after="80" w:before="80"/>
      </w:pPr>
      <w:r>
        <w:t xml:space="preserve"/>
      </w:r>
    </w:p>
    <w:p>
      <w:pPr>
        <w:pStyle w:val="Heading2"/>
        <w:spacing w:after="140" w:before="280"/>
      </w:pPr>
      <w:r>
        <w:rPr>
          <w:rFonts w:ascii="Arial" w:cs="Arial" w:eastAsia="Arial" w:hAnsi="Arial"/>
          <w:b/>
          <w:bCs/>
          <w:sz w:val="26"/>
          <w:szCs w:val="26"/>
        </w:rPr>
        <w:t xml:space="preserve">4.1. Co było trudne</w:t>
      </w:r>
    </w:p>
    <w:p>
      <w:pPr>
        <w:spacing w:after="140" w:before="100"/>
        <w:jc w:val="both"/>
      </w:pPr>
      <w:r>
        <w:rPr>
          <w:rFonts w:ascii="Arial" w:cs="Arial" w:eastAsia="Arial" w:hAnsi="Arial"/>
          <w:sz w:val="24"/>
          <w:szCs w:val="24"/>
        </w:rPr>
        <w:t xml:space="preserve">Największym wyzwaniem była defamiliaryzacja: spojrzenie na znane, codzienne miejsce oczyma etnografa. Automatycznie interpretowaliśmy zachowania jako „normalne”, zamiast traktować je jako dane wymagające analizy. Dopiero systematyczne prowadzenie dziennika terenowego pozwoliło wyłowić rzeczy, które dotąd były niewidoczne właśnie dlatego, że były oczywiste.</w:t>
      </w:r>
    </w:p>
    <w:p>
      <w:pPr>
        <w:spacing w:after="140" w:before="100"/>
        <w:jc w:val="both"/>
      </w:pPr>
      <w:r>
        <w:rPr>
          <w:rFonts w:ascii="Arial" w:cs="Arial" w:eastAsia="Arial" w:hAnsi="Arial"/>
          <w:sz w:val="24"/>
          <w:szCs w:val="24"/>
        </w:rPr>
        <w:t xml:space="preserve">Drugą trudnością był mały rozmiar próby ankietowej (n=6). Sześć respondentów to wciąż za mało, by generalizować — jednak jako punkt wyjścia do analizy jakościowej wystarczyło, zwłaszcza że ankieta pełniła rolę uzupełniającą wobec obserwacji i netografii, nie głównego narzędzia.</w:t>
      </w:r>
    </w:p>
    <w:p>
      <w:pPr>
        <w:spacing w:after="80" w:before="80"/>
      </w:pPr>
      <w:r>
        <w:t xml:space="preserve"/>
      </w:r>
    </w:p>
    <w:p>
      <w:pPr>
        <w:pStyle w:val="Heading2"/>
        <w:spacing w:after="140" w:before="280"/>
      </w:pPr>
      <w:r>
        <w:rPr>
          <w:rFonts w:ascii="Arial" w:cs="Arial" w:eastAsia="Arial" w:hAnsi="Arial"/>
          <w:b/>
          <w:bCs/>
          <w:sz w:val="26"/>
          <w:szCs w:val="26"/>
        </w:rPr>
        <w:t xml:space="preserve">4.2. Co zaskoczyło</w:t>
      </w:r>
    </w:p>
    <w:p>
      <w:pPr>
        <w:spacing w:after="140" w:before="100"/>
        <w:jc w:val="both"/>
      </w:pPr>
      <w:r>
        <w:rPr>
          <w:rFonts w:ascii="Arial" w:cs="Arial" w:eastAsia="Arial" w:hAnsi="Arial"/>
          <w:sz w:val="24"/>
          <w:szCs w:val="24"/>
        </w:rPr>
        <w:t xml:space="preserve">Zaskoczeniem był stopień spójności między różnymi źródłami danych: język ankietowanych studentów doskonale korespondował z językiem znalezionym w źródłach netograficznych (portal geocachingowy) — te same określenia, ten sam etos ryzyka. To wzmocniło przekonanie, że „klepisko” to nie tylko lokalna nazwa, lecz realnie funkcjonujący element subkultury.</w:t>
      </w:r>
    </w:p>
    <w:p>
      <w:pPr>
        <w:spacing w:after="140" w:before="100"/>
        <w:jc w:val="both"/>
      </w:pPr>
      <w:r>
        <w:rPr>
          <w:rFonts w:ascii="Arial" w:cs="Arial" w:eastAsia="Arial" w:hAnsi="Arial"/>
          <w:sz w:val="24"/>
          <w:szCs w:val="24"/>
        </w:rPr>
        <w:t xml:space="preserve">Zaskoczyła również obecność sieci eduroam jako infrastruktury wykraczającej poza budynek — fakt techniczny, który nabiera głębokiego znaczenia kulturowego: instytucja nieintencjonalnie wyposażyła przestrzeń subkultury w narzędzie jej dalszego rozwoju.</w:t>
      </w:r>
    </w:p>
    <w:p>
      <w:pPr>
        <w:spacing w:after="80" w:before="80"/>
      </w:pPr>
      <w:r>
        <w:t xml:space="preserve"/>
      </w:r>
    </w:p>
    <w:p>
      <w:pPr>
        <w:pStyle w:val="Heading2"/>
        <w:spacing w:after="140" w:before="280"/>
      </w:pPr>
      <w:r>
        <w:rPr>
          <w:rFonts w:ascii="Arial" w:cs="Arial" w:eastAsia="Arial" w:hAnsi="Arial"/>
          <w:b/>
          <w:bCs/>
          <w:sz w:val="26"/>
          <w:szCs w:val="26"/>
        </w:rPr>
        <w:t xml:space="preserve">4.3. Refleksja etyczna</w:t>
      </w:r>
    </w:p>
    <w:p>
      <w:pPr>
        <w:spacing w:after="140" w:before="100"/>
        <w:jc w:val="both"/>
      </w:pPr>
      <w:r>
        <w:rPr>
          <w:rFonts w:ascii="Arial" w:cs="Arial" w:eastAsia="Arial" w:hAnsi="Arial"/>
          <w:sz w:val="24"/>
          <w:szCs w:val="24"/>
        </w:rPr>
        <w:t xml:space="preserve">Badanie prowadzone było z zachowaniem zasad etyki badawczej. W ankiecie nie zbierano danych osobowych; respondenci byli anonimowi. Fotografowanie przestrzeni odbywało się bez utrwalania wizerunków osób. Cytaty z ankiet są użwane wyłącznie w zdeidentyfikowanej formie (respondent 1–6).</w:t>
      </w:r>
    </w:p>
    <w:p>
      <w:pPr>
        <w:spacing w:after="140" w:before="100"/>
        <w:jc w:val="both"/>
      </w:pPr>
      <w:r>
        <w:rPr>
          <w:rFonts w:ascii="Arial" w:cs="Arial" w:eastAsia="Arial" w:hAnsi="Arial"/>
          <w:sz w:val="24"/>
          <w:szCs w:val="24"/>
        </w:rPr>
        <w:t xml:space="preserve">Warto zaznaczyć, że będąc częścią badanej kultury (studiując na tej samej uczelni, korzystając z tego samego parkingu), autorzy znajdowali się jednocześnie w pozycji uprzywilejowanej (rozumienie kontekstu) i narażonej na „efekt oślepienia” — niewidzenia tego, co jest zbyt znajome. Prowadzenie oddzielnych kolumn „opis” i „interpretacja” w dzienniku terenowym było narzędziem łagodzącym to ryzyko.</w:t>
      </w:r>
    </w:p>
    <w:p>
      <w:r>
        <w:br w:type="page"/>
      </w:r>
    </w:p>
    <w:p>
      <w:pPr>
        <w:pStyle w:val="Heading1"/>
        <w:spacing w:after="200" w:before="360"/>
      </w:pPr>
      <w:r>
        <w:rPr>
          <w:rFonts w:ascii="Arial" w:cs="Arial" w:eastAsia="Arial" w:hAnsi="Arial"/>
          <w:b/>
          <w:bCs/>
          <w:sz w:val="32"/>
          <w:szCs w:val="32"/>
        </w:rPr>
        <w:t xml:space="preserve">Literatura i źródła</w:t>
      </w:r>
    </w:p>
    <w:p>
      <w:pPr>
        <w:spacing w:after="80" w:before="80"/>
      </w:pPr>
      <w:r>
        <w:t xml:space="preserve"/>
      </w:r>
    </w:p>
    <w:p>
      <w:pPr>
        <w:spacing w:after="140" w:before="100"/>
        <w:jc w:val="both"/>
      </w:pPr>
      <w:r>
        <w:rPr>
          <w:rFonts w:ascii="Arial" w:cs="Arial" w:eastAsia="Arial" w:hAnsi="Arial"/>
          <w:sz w:val="24"/>
          <w:szCs w:val="24"/>
        </w:rPr>
        <w:t xml:space="preserve">Schein, E.H. (2010). Organizational Culture and Leadership. 4th ed. Jossey-Bass.</w:t>
      </w:r>
    </w:p>
    <w:p>
      <w:pPr>
        <w:spacing w:after="140" w:before="100"/>
        <w:jc w:val="both"/>
      </w:pPr>
      <w:r>
        <w:rPr>
          <w:rFonts w:ascii="Arial" w:cs="Arial" w:eastAsia="Arial" w:hAnsi="Arial"/>
          <w:sz w:val="24"/>
          <w:szCs w:val="24"/>
        </w:rPr>
        <w:t xml:space="preserve">Kozinets, R.V. (2020). Netnography: The Essential Guide. 3rd ed. SAGE.</w:t>
      </w:r>
    </w:p>
    <w:p>
      <w:pPr>
        <w:spacing w:after="140" w:before="100"/>
        <w:jc w:val="both"/>
      </w:pPr>
      <w:r>
        <w:rPr>
          <w:rFonts w:ascii="Arial" w:cs="Arial" w:eastAsia="Arial" w:hAnsi="Arial"/>
          <w:sz w:val="24"/>
          <w:szCs w:val="24"/>
        </w:rPr>
        <w:t xml:space="preserve">Franzke, A., Bechmann, A., Ess, C., Zimmer, M. (2020). Internet Research: Ethical Guidelines 3.0. AoIR. https://aoir.org/reports/ethics3.pdf</w:t>
      </w:r>
    </w:p>
    <w:p>
      <w:pPr>
        <w:spacing w:after="140" w:before="100"/>
        <w:jc w:val="both"/>
      </w:pPr>
      <w:r>
        <w:rPr>
          <w:rFonts w:ascii="Arial" w:cs="Arial" w:eastAsia="Arial" w:hAnsi="Arial"/>
          <w:sz w:val="24"/>
          <w:szCs w:val="24"/>
        </w:rPr>
        <w:t xml:space="preserve">Wileczek, A. (2018). Kod młodości. Młodomowa w kontekstach społeczno-kulturowych. PWN.</w:t>
      </w:r>
    </w:p>
    <w:p>
      <w:pPr>
        <w:spacing w:after="140" w:before="100"/>
        <w:jc w:val="both"/>
      </w:pPr>
      <w:r>
        <w:rPr>
          <w:rFonts w:ascii="Arial" w:cs="Arial" w:eastAsia="Arial" w:hAnsi="Arial"/>
          <w:sz w:val="24"/>
          <w:szCs w:val="24"/>
        </w:rPr>
        <w:t xml:space="preserve">Halawa, M. (2013). Facebook — platforma algorytmicznej towarzyskości i technologia siebie. Kultura i Społeczeństwo.</w:t>
      </w:r>
    </w:p>
    <w:p>
      <w:pPr>
        <w:spacing w:after="140" w:before="100"/>
        <w:jc w:val="both"/>
      </w:pPr>
      <w:r>
        <w:rPr>
          <w:rFonts w:ascii="Arial" w:cs="Arial" w:eastAsia="Arial" w:hAnsi="Arial"/>
          <w:sz w:val="24"/>
          <w:szCs w:val="24"/>
        </w:rPr>
        <w:t xml:space="preserve">Portal geocachingowy: https://opencaching.pl/viewcache.php?wp=OP1B0A</w:t>
      </w:r>
    </w:p>
    <w:p>
      <w:pPr>
        <w:spacing w:after="140" w:before="100"/>
        <w:jc w:val="both"/>
      </w:pPr>
      <w:r>
        <w:rPr>
          <w:rFonts w:ascii="Arial" w:cs="Arial" w:eastAsia="Arial" w:hAnsi="Arial"/>
          <w:sz w:val="24"/>
          <w:szCs w:val="24"/>
        </w:rPr>
        <w:t xml:space="preserve">Dane techniczne eduroam: http://eduroam.pollub.pl/informacje.html</w:t>
      </w:r>
    </w:p>
    <w:p>
      <w:pPr>
        <w:spacing w:after="140" w:before="100"/>
        <w:jc w:val="both"/>
      </w:pPr>
      <w:r>
        <w:rPr>
          <w:rFonts w:ascii="Arial" w:cs="Arial" w:eastAsia="Arial" w:hAnsi="Arial"/>
          <w:sz w:val="24"/>
          <w:szCs w:val="24"/>
        </w:rPr>
        <w:t xml:space="preserve">Komunikaty administracyjne PL: https://pollub.pl/rekrutacja/aktualnosci/</w:t>
      </w:r>
    </w:p>
    <w:sectPr>
      <w:pgSz w:w="11906" w:h="16838" w:orient="portrait"/>
      <w:pgMar w:top="1440" w:right="1440" w:bottom="1440" w:left="172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D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2026-06-06T10:03:47.797Z</dcterms:created>
  <dcterms:modified xsi:type="dcterms:W3CDTF">2026-06-06T10:03:47.797Z</dcterms:modified>
</cp:coreProperties>
</file>

<file path=docProps/custom.xml><?xml version="1.0" encoding="utf-8"?>
<Properties xmlns="http://schemas.openxmlformats.org/officeDocument/2006/custom-properties" xmlns:vt="http://schemas.openxmlformats.org/officeDocument/2006/docPropsVTypes"/>
</file>