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36"/>
          <w:szCs w:val="36"/>
        </w:rPr>
        <w:t xml:space="preserve">Kultura organizacyjna nieformalnej wspólnoty parkingowej</w:t>
      </w:r>
    </w:p>
    <w:p>
      <w:pPr>
        <w:spacing w:after="80" w:before="0"/>
      </w:pPr>
      <w:r>
        <w:rPr>
          <w:rFonts w:ascii="Arial" w:cs="Arial" w:eastAsia="Arial" w:hAnsi="Arial"/>
          <w:color w:val="444444"/>
          <w:sz w:val="26"/>
          <w:szCs w:val="26"/>
        </w:rPr>
        <w:t xml:space="preserve">Analiza subkultury użytkowników parkingu Politechniki Lubelskiej</w:t>
      </w:r>
    </w:p>
    <w:p>
      <w:pPr>
        <w:spacing w:after="320" w:before="0"/>
      </w:pPr>
      <w:r>
        <w:rPr>
          <w:rFonts w:ascii="Arial" w:cs="Arial" w:eastAsia="Arial" w:hAnsi="Arial"/>
          <w:color w:val="666666"/>
          <w:sz w:val="22"/>
          <w:szCs w:val="22"/>
        </w:rPr>
        <w:t xml:space="preserve">na podstawie strony Spotted Parking Politechniki Lubelskiej (Facebook)</w:t>
      </w:r>
    </w:p>
    <w:p>
      <w:pPr>
        <w:pStyle w:val="Heading1"/>
        <w:spacing w:after="160" w:before="320"/>
      </w:pPr>
      <w:r>
        <w:rPr>
          <w:rFonts w:ascii="Arial" w:cs="Arial" w:eastAsia="Arial" w:hAnsi="Arial"/>
          <w:b/>
          <w:bCs/>
          <w:color w:val="1F3864"/>
          <w:sz w:val="32"/>
          <w:szCs w:val="32"/>
        </w:rPr>
        <w:t xml:space="preserve">1. Metodologia</w:t>
      </w:r>
    </w:p>
    <w:p>
      <w:pPr>
        <w:pStyle w:val="Heading2"/>
        <w:spacing w:after="120" w:before="240"/>
      </w:pPr>
      <w:r>
        <w:rPr>
          <w:rFonts w:ascii="Arial" w:cs="Arial" w:eastAsia="Arial" w:hAnsi="Arial"/>
          <w:b/>
          <w:bCs/>
          <w:color w:val="2E75B6"/>
          <w:sz w:val="26"/>
          <w:szCs w:val="26"/>
        </w:rPr>
        <w:t xml:space="preserve">1.1. Wybór metody — netnografia</w:t>
      </w:r>
    </w:p>
    <w:p>
      <w:pPr>
        <w:spacing w:after="120" w:before="0"/>
        <w:jc w:val="both"/>
      </w:pPr>
      <w:r>
        <w:rPr>
          <w:rFonts w:ascii="Arial" w:cs="Arial" w:eastAsia="Arial" w:hAnsi="Arial"/>
          <w:sz w:val="22"/>
          <w:szCs w:val="22"/>
        </w:rPr>
        <w:t xml:space="preserve">Badanie opiera się na netnografii (ang. netnography) jako podstawowej metodzie badawczej. Netnografia, zaproponowana przez Roberta Kozinets (2010), jest adaptacją etnografii do środowiska internetowego. Pozwala na systematyczne obserwowanie, gromadzenie i interpretowanie treści generowanych przez społeczności online, traktując je jako autentyczne dane kulturowe — analogiczne do terenowych notatek etnograficznych.</w:t>
      </w:r>
    </w:p>
    <w:p>
      <w:pPr>
        <w:spacing w:after="120" w:before="0"/>
        <w:jc w:val="both"/>
      </w:pPr>
      <w:r>
        <w:rPr>
          <w:rFonts w:ascii="Arial" w:cs="Arial" w:eastAsia="Arial" w:hAnsi="Arial"/>
          <w:sz w:val="22"/>
          <w:szCs w:val="22"/>
        </w:rPr>
        <w:t xml:space="preserve">Wybór netnografii jest uzasadniony specyfiką badanego zjawiska. Strona Spotted Parking Politechniki Lubelskiej jest przestrzenią naturalnej interakcji społecznej, w której użytkownicy parkingu — studenci i pracownicy uczelni — komunikują się, egzekwują normy i budują tożsamość zbiorową. Posty nie są generowane na potrzeby badania, lecz stanowią autentyczne świadectwo praktyk kulturowych wspólnoty.</w:t>
      </w:r>
    </w:p>
    <w:p>
      <w:pPr>
        <w:spacing w:after="120" w:before="0"/>
        <w:jc w:val="both"/>
      </w:pPr>
      <w:r>
        <w:rPr>
          <w:rFonts w:ascii="Arial" w:cs="Arial" w:eastAsia="Arial" w:hAnsi="Arial"/>
          <w:sz w:val="22"/>
          <w:szCs w:val="22"/>
        </w:rPr>
        <w:t xml:space="preserve">Zgodnie z podejściem Kozinets (2010: 60), netnografia zakłada, że </w:t>
      </w:r>
      <w:r>
        <w:rPr>
          <w:rFonts w:ascii="Arial" w:cs="Arial" w:eastAsia="Arial" w:hAnsi="Arial"/>
          <w:sz w:val="22"/>
          <w:szCs w:val="22"/>
        </w:rPr>
        <w:t xml:space="preserve">„kultury i wspólnoty online są autentyczne i rzeczywiste”</w:t>
      </w:r>
      <w:r>
        <w:rPr>
          <w:rFonts w:ascii="Arial" w:cs="Arial" w:eastAsia="Arial" w:hAnsi="Arial"/>
          <w:sz w:val="22"/>
          <w:szCs w:val="22"/>
        </w:rPr>
        <w:t xml:space="preserve"> — ich badanie dostarcza równie wartościowej wiedzy co tradycyjne badania terenowe. Szczególną zaletą jest możliwość dostępu do dużego korpusu danych niereaktywnych: użytkownicy pisali bez świadomości bycia obserwowanymi, co minimalizuje efekt obserwatora.</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1.2. Opis materiału empirycznego</w:t>
      </w:r>
    </w:p>
    <w:p>
      <w:pPr>
        <w:spacing w:after="120" w:before="0"/>
        <w:jc w:val="both"/>
      </w:pPr>
      <w:r>
        <w:rPr>
          <w:rFonts w:ascii="Arial" w:cs="Arial" w:eastAsia="Arial" w:hAnsi="Arial"/>
          <w:sz w:val="22"/>
          <w:szCs w:val="22"/>
        </w:rPr>
        <w:t xml:space="preserve">Materiał empiryczny stanowi archiwum publicznej strony Spotted Parking Politechniki Lubelskiej na platformie Facebook, zapisane jako plik HTML w dniu 3 czerwca 2026 roku. Strona działa jako anonimowy kanał komunikacji: użytkownicy przesyłają wiadomości do administratorów, którzy publikują je pod wspólnym pseudonimem Spotter (forma męska) lub Spotterka (forma żeńska).</w:t>
      </w:r>
    </w:p>
    <w:p>
      <w:pPr>
        <w:spacing w:after="80" w:before="0"/>
      </w:pPr>
      <w:r>
        <w:t xml:space="preserve"/>
      </w:r>
    </w:p>
    <w:p>
      <w:pPr>
        <w:spacing w:after="60" w:before="0"/>
      </w:pPr>
      <w:r>
        <w:rPr>
          <w:rFonts w:ascii="Arial" w:cs="Arial" w:eastAsia="Arial" w:hAnsi="Arial"/>
          <w:b/>
          <w:bCs/>
          <w:caps/>
          <w:color w:val="555555"/>
          <w:sz w:val="18"/>
          <w:szCs w:val="18"/>
        </w:rPr>
        <w:t xml:space="preserve">Tabela 1. Charakterystyka korpusu badawczego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Parametr</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Wartość</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Źródło danych</w:t>
            </w:r>
          </w:p>
        </w:tc>
        <w:tc>
          <w:tcPr>
            <w:tcW w:type="dxa" w:w="5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Spotted Parking Politechniki Lubelskiej (Facebook)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Typ danych</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Posty publiczne (archiwum HTML strony)</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Okres objęty danymi</w:t>
            </w:r>
          </w:p>
        </w:tc>
        <w:tc>
          <w:tcPr>
            <w:tcW w:type="dxa" w:w="5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Grudzień 2024 – czerwiec 2026 (ok. 18 miesięcy)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Łączna liczba unikalnych postów Spotter/Spotterka</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320</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Forma nadawcy: Spotter (m.)</w:t>
            </w:r>
          </w:p>
        </w:tc>
        <w:tc>
          <w:tcPr>
            <w:tcW w:type="dxa" w:w="5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253 (79%)</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Forma nadawcy: Spotterka (f.)</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66 (21%)</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Tonacja dominująca</w:t>
            </w:r>
          </w:p>
        </w:tc>
        <w:tc>
          <w:tcPr>
            <w:tcW w:type="dxa" w:w="5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Neutralna (68%) i grzeczna (27%)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Posty odnoszące się do normy karteczki</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57 (18%)</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Posty zawierające numer rejestracyjny</w:t>
            </w:r>
          </w:p>
        </w:tc>
        <w:tc>
          <w:tcPr>
            <w:tcW w:type="dxa" w:w="5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24 (8%)</w:t>
            </w:r>
          </w:p>
        </w:tc>
      </w:tr>
    </w:tbl>
    <w:p>
      <w:pPr>
        <w:spacing w:after="80" w:before="0"/>
      </w:pPr>
      <w:r>
        <w:t xml:space="preserve"/>
      </w:r>
    </w:p>
    <w:p>
      <w:pPr>
        <w:pStyle w:val="Heading2"/>
        <w:spacing w:after="120" w:before="240"/>
      </w:pPr>
      <w:r>
        <w:rPr>
          <w:rFonts w:ascii="Arial" w:cs="Arial" w:eastAsia="Arial" w:hAnsi="Arial"/>
          <w:b/>
          <w:bCs/>
          <w:color w:val="2E75B6"/>
          <w:sz w:val="26"/>
          <w:szCs w:val="26"/>
        </w:rPr>
        <w:t xml:space="preserve">1.3. Procedura zbierania i analizy danych</w:t>
      </w:r>
    </w:p>
    <w:p>
      <w:pPr>
        <w:spacing w:after="120" w:before="0"/>
        <w:jc w:val="both"/>
      </w:pPr>
      <w:r>
        <w:rPr>
          <w:rFonts w:ascii="Arial" w:cs="Arial" w:eastAsia="Arial" w:hAnsi="Arial"/>
          <w:sz w:val="22"/>
          <w:szCs w:val="22"/>
        </w:rPr>
        <w:t xml:space="preserve">Archiwum strony zostało pobrane przy użyciu rozszerzenia SingleFile, zapisującego kompletną stronę internetową jako pojedynczy plik HTML. Następnie zawartość pliku została przetworzona automatycznie (parser HTML w Pythonie) w celu ekstrakcji wszystkich tekstów — z pominięciem elementów nawigacyjnych i systemowych platformy Facebook.</w:t>
      </w:r>
    </w:p>
    <w:p>
      <w:pPr>
        <w:spacing w:after="120" w:before="0"/>
        <w:jc w:val="both"/>
      </w:pPr>
      <w:r>
        <w:rPr>
          <w:rFonts w:ascii="Arial" w:cs="Arial" w:eastAsia="Arial" w:hAnsi="Arial"/>
          <w:sz w:val="22"/>
          <w:szCs w:val="22"/>
        </w:rPr>
        <w:t xml:space="preserve">Z wyodrębnionych treści zidentyfikowano 469 wystąpień tekstów zaczynających się od słów Spotter lub Spotterka, które po usunięciu duplikatów (te same treści pojawiały się dwukrotnie ze względu na strukturę strony) dały korpus 320 unikalnych postów. Każdy post stanowi jednostkę analizy.</w:t>
      </w:r>
    </w:p>
    <w:p>
      <w:pPr>
        <w:spacing w:after="80" w:before="0"/>
        <w:jc w:val="both"/>
      </w:pPr>
      <w:r>
        <w:rPr>
          <w:rFonts w:ascii="Arial" w:cs="Arial" w:eastAsia="Arial" w:hAnsi="Arial"/>
          <w:sz w:val="22"/>
          <w:szCs w:val="22"/>
        </w:rPr>
        <w:t xml:space="preserve">Analiza przebiegała trójetapowo, zgodnie z podejściem tematycznej analizy treści (Braun i Clarke 2006):</w:t>
      </w:r>
    </w:p>
    <w:p>
      <w:pPr>
        <w:pStyle w:val="ListParagraph"/>
        <w:numPr>
          <w:ilvl w:val="0"/>
          <w:numId w:val="2"/>
        </w:numPr>
        <w:spacing w:after="40" w:before="40"/>
      </w:pPr>
      <w:r>
        <w:rPr>
          <w:rFonts w:ascii="Arial" w:cs="Arial" w:eastAsia="Arial" w:hAnsi="Arial"/>
          <w:sz w:val="22"/>
          <w:szCs w:val="22"/>
        </w:rPr>
        <w:t xml:space="preserve">Taksonomia treści — przypisanie każdego postu do jednej z siedmiu kategorii funkcjonalnych (przeparkowanie, kolizja, alarm straży, zgubione/znalezione, światła, inne).</w:t>
      </w:r>
    </w:p>
    <w:p>
      <w:pPr>
        <w:pStyle w:val="ListParagraph"/>
        <w:numPr>
          <w:ilvl w:val="0"/>
          <w:numId w:val="2"/>
        </w:numPr>
        <w:spacing w:after="40" w:before="40"/>
      </w:pPr>
      <w:r>
        <w:rPr>
          <w:rFonts w:ascii="Arial" w:cs="Arial" w:eastAsia="Arial" w:hAnsi="Arial"/>
          <w:sz w:val="22"/>
          <w:szCs w:val="22"/>
        </w:rPr>
        <w:t xml:space="preserve">Analiza tonacji — klasyfikacja tonacji jako: neutralna, grzeczna, humorystyczna, agresywna — na podstawie słów kluczowych i wyrażeń idiomatycznych.</w:t>
      </w:r>
    </w:p>
    <w:p>
      <w:pPr>
        <w:pStyle w:val="ListParagraph"/>
        <w:numPr>
          <w:ilvl w:val="0"/>
          <w:numId w:val="2"/>
        </w:numPr>
        <w:spacing w:after="40" w:before="40"/>
      </w:pPr>
      <w:r>
        <w:rPr>
          <w:rFonts w:ascii="Arial" w:cs="Arial" w:eastAsia="Arial" w:hAnsi="Arial"/>
          <w:sz w:val="22"/>
          <w:szCs w:val="22"/>
        </w:rPr>
        <w:t xml:space="preserve">Analiza przypadków ekstremalnych — identyfikacja postów odbiegających od dominujących wzorców (deviant cases) w celu weryfikacji granic normy i mechanizmów jej egzekwowania.</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1.4. Framework interpretacyjny</w:t>
      </w:r>
    </w:p>
    <w:p>
      <w:pPr>
        <w:spacing w:after="80" w:before="0"/>
        <w:jc w:val="both"/>
      </w:pPr>
      <w:r>
        <w:rPr>
          <w:rFonts w:ascii="Arial" w:cs="Arial" w:eastAsia="Arial" w:hAnsi="Arial"/>
          <w:sz w:val="22"/>
          <w:szCs w:val="22"/>
        </w:rPr>
        <w:t xml:space="preserve">Zgromadzony materiał empiryczny został zinterpretowany przez pryzmat trzech komplementarnych ram teoretycznych:</w:t>
      </w:r>
    </w:p>
    <w:p>
      <w:pPr>
        <w:pStyle w:val="ListParagraph"/>
        <w:numPr>
          <w:ilvl w:val="0"/>
          <w:numId w:val="3"/>
        </w:numPr>
        <w:spacing w:after="40" w:before="40"/>
      </w:pPr>
      <w:r>
        <w:rPr>
          <w:rFonts w:ascii="Arial" w:cs="Arial" w:eastAsia="Arial" w:hAnsi="Arial"/>
          <w:b/>
          <w:bCs/>
          <w:sz w:val="22"/>
          <w:szCs w:val="22"/>
        </w:rPr>
        <w:t xml:space="preserve">Model trójwarstwowy kultury organizacyjnej Edgara Scheina (1985, 2010) — rozróżnienie artefaktów, deklarowanych wartości i podstawowych założeń jako poziomów kultury organizacyjnej. Framework stanowi główną strukturę opisu.</w:t>
      </w:r>
    </w:p>
    <w:p>
      <w:pPr>
        <w:pStyle w:val="ListParagraph"/>
        <w:numPr>
          <w:ilvl w:val="0"/>
          <w:numId w:val="3"/>
        </w:numPr>
        <w:spacing w:after="40" w:before="40"/>
      </w:pPr>
      <w:r>
        <w:rPr>
          <w:rFonts w:ascii="Arial" w:cs="Arial" w:eastAsia="Arial" w:hAnsi="Arial"/>
          <w:b/>
          <w:bCs/>
          <w:sz w:val="22"/>
          <w:szCs w:val="22"/>
        </w:rPr>
        <w:t xml:space="preserve">Teoria wspólnych zasobów (commons) Elinor Ostrom (1990)</w:t>
      </w:r>
      <w:r>
        <w:rPr>
          <w:rFonts w:ascii="Arial" w:cs="Arial" w:eastAsia="Arial" w:hAnsi="Arial"/>
          <w:sz w:val="22"/>
          <w:szCs w:val="22"/>
        </w:rPr>
        <w:t xml:space="preserve"> — analiza mechanizmów samoregulacji wspólnoty bez ingerencji instytucji formalnych. Parking studencki jako klasyczny commons w ujęciu Ostrom.</w:t>
      </w:r>
    </w:p>
    <w:p>
      <w:pPr>
        <w:pStyle w:val="ListParagraph"/>
        <w:numPr>
          <w:ilvl w:val="0"/>
          <w:numId w:val="3"/>
        </w:numPr>
        <w:spacing w:after="40" w:before="40"/>
      </w:pPr>
      <w:r>
        <w:rPr>
          <w:rFonts w:ascii="Arial" w:cs="Arial" w:eastAsia="Arial" w:hAnsi="Arial"/>
          <w:b/>
          <w:bCs/>
          <w:sz w:val="22"/>
          <w:szCs w:val="22"/>
        </w:rPr>
        <w:t xml:space="preserve">Wymiary kultury narodowej Geerta Hofstedego (2010)</w:t>
      </w:r>
      <w:r>
        <w:rPr>
          <w:rFonts w:ascii="Arial" w:cs="Arial" w:eastAsia="Arial" w:hAnsi="Arial"/>
          <w:sz w:val="22"/>
          <w:szCs w:val="22"/>
        </w:rPr>
        <w:t xml:space="preserve"> — weryfikacja, w jakim stopniu subkultura parkingowa odzwierciedla makrokulturowe wymiary polskie (szczególnie: wysokie unikanie niepewności UAI i niski dystans do władzy PDI).</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1.5. Ograniczenia metodologiczne</w:t>
      </w:r>
    </w:p>
    <w:p>
      <w:pPr>
        <w:spacing w:after="80" w:before="0"/>
        <w:jc w:val="both"/>
      </w:pPr>
      <w:r>
        <w:rPr>
          <w:rFonts w:ascii="Arial" w:cs="Arial" w:eastAsia="Arial" w:hAnsi="Arial"/>
          <w:sz w:val="22"/>
          <w:szCs w:val="22"/>
        </w:rPr>
        <w:t xml:space="preserve">Badanie napotyka szereg ograniczeń, które należy uwzględnić przy interpretacji wyników:</w:t>
      </w:r>
    </w:p>
    <w:p>
      <w:pPr>
        <w:pStyle w:val="ListParagraph"/>
        <w:numPr>
          <w:ilvl w:val="0"/>
          <w:numId w:val="3"/>
        </w:numPr>
        <w:spacing w:after="40" w:before="40"/>
      </w:pPr>
      <w:r>
        <w:rPr>
          <w:rFonts w:ascii="Arial" w:cs="Arial" w:eastAsia="Arial" w:hAnsi="Arial"/>
          <w:b w:val="false"/>
          <w:bCs w:val="false"/>
          <w:sz w:val="22"/>
          <w:szCs w:val="22"/>
        </w:rPr>
        <w:t xml:space="preserve">Jednostronność danych: analizie poddano wyłącznie posty Spotter/Spotterka. Komentarze społeczności — potencjalnie równie bogate kulturowo — nie były systematycznie dostępne w analizowanym archiwum.</w:t>
      </w:r>
    </w:p>
    <w:p>
      <w:pPr>
        <w:pStyle w:val="ListParagraph"/>
        <w:numPr>
          <w:ilvl w:val="0"/>
          <w:numId w:val="3"/>
        </w:numPr>
        <w:spacing w:after="40" w:before="40"/>
      </w:pPr>
      <w:r>
        <w:rPr>
          <w:rFonts w:ascii="Arial" w:cs="Arial" w:eastAsia="Arial" w:hAnsi="Arial"/>
          <w:b w:val="false"/>
          <w:bCs w:val="false"/>
          <w:sz w:val="22"/>
          <w:szCs w:val="22"/>
        </w:rPr>
        <w:t xml:space="preserve">Brak danych o skuteczności: nie wiadomo, w ilu przypadkach właściciel auta rzeczywiście przeparkował po publikacji postu. Platforma rejestruje żądanie normy, nie jej egzekucję.</w:t>
      </w:r>
    </w:p>
    <w:p>
      <w:pPr>
        <w:pStyle w:val="ListParagraph"/>
        <w:numPr>
          <w:ilvl w:val="0"/>
          <w:numId w:val="3"/>
        </w:numPr>
        <w:spacing w:after="40" w:before="40"/>
      </w:pPr>
      <w:r>
        <w:rPr>
          <w:rFonts w:ascii="Arial" w:cs="Arial" w:eastAsia="Arial" w:hAnsi="Arial"/>
          <w:b w:val="false"/>
          <w:bCs w:val="false"/>
          <w:sz w:val="22"/>
          <w:szCs w:val="22"/>
        </w:rPr>
        <w:t xml:space="preserve">Anonimowość nadawców: forma gramatyczna (Spotter/Spotterka) wskazuje płeć, lecz nie dostarcza innych danych demograficznych. Brak możliwości wywiadu z uczestnikami.</w:t>
      </w:r>
    </w:p>
    <w:p>
      <w:pPr>
        <w:pStyle w:val="ListParagraph"/>
        <w:numPr>
          <w:ilvl w:val="0"/>
          <w:numId w:val="3"/>
        </w:numPr>
        <w:spacing w:after="40" w:before="40"/>
      </w:pPr>
      <w:r>
        <w:rPr>
          <w:rFonts w:ascii="Arial" w:cs="Arial" w:eastAsia="Arial" w:hAnsi="Arial"/>
          <w:b w:val="false"/>
          <w:bCs w:val="false"/>
          <w:sz w:val="22"/>
          <w:szCs w:val="22"/>
        </w:rPr>
        <w:t xml:space="preserve">Temporalność: archiwum obejmuje 18 miesięcy, jednak rozkład postów w czasie nie był możliwy do odtworzenia na podstawie dostępnych danych (brak czytelnych znaczników dat przy każdym poście).</w:t>
      </w:r>
    </w:p>
    <w:p>
      <w:pPr>
        <w:spacing w:after="80" w:before="0"/>
      </w:pPr>
      <w:r>
        <w:t xml:space="preserve"/>
      </w:r>
    </w:p>
    <w:p>
      <w:pPr>
        <w:pStyle w:val="Heading1"/>
        <w:spacing w:after="160" w:before="320"/>
      </w:pPr>
      <w:r>
        <w:rPr>
          <w:rFonts w:ascii="Arial" w:cs="Arial" w:eastAsia="Arial" w:hAnsi="Arial"/>
          <w:b/>
          <w:bCs/>
          <w:color w:val="1F3864"/>
          <w:sz w:val="32"/>
          <w:szCs w:val="32"/>
        </w:rPr>
        <w:t xml:space="preserve">2. Selekcja postów do analizy jakościowej</w:t>
      </w:r>
    </w:p>
    <w:p>
      <w:pPr>
        <w:spacing w:after="120" w:before="0"/>
        <w:jc w:val="both"/>
      </w:pPr>
      <w:r>
        <w:rPr>
          <w:rFonts w:ascii="Arial" w:cs="Arial" w:eastAsia="Arial" w:hAnsi="Arial"/>
          <w:sz w:val="22"/>
          <w:szCs w:val="22"/>
        </w:rPr>
        <w:t xml:space="preserve">Spośród 320 unikalnych postów wyselekcjonowano 10 reprezentatywnych przypadków do szczegółowej analizy jakościowej. Kryterium doboru obejmowało: (1) reprezentatywność dla danej kategorii funkcjonalnej, (2) wyrazistość analizowanego fenomenu kulturowego, (3) wartość analityczną w odniesieniu do przyjętych frameworków teoretycznych oraz (4) zróżnicowanie tonacji i formy. Posty te stanowią materiał do zrzutów ekranu (Aneks A) i są cytowane w dalszych częściach pracy.</w:t>
      </w:r>
    </w:p>
    <w:p>
      <w:pPr>
        <w:spacing w:after="80" w:before="0"/>
      </w:pPr>
      <w:r>
        <w:t xml:space="preserve"/>
      </w:r>
    </w:p>
    <w:p>
      <w:pPr>
        <w:spacing w:after="60" w:before="0"/>
      </w:pPr>
      <w:r>
        <w:rPr>
          <w:rFonts w:ascii="Arial" w:cs="Arial" w:eastAsia="Arial" w:hAnsi="Arial"/>
          <w:b/>
          <w:bCs/>
          <w:caps/>
          <w:color w:val="555555"/>
          <w:sz w:val="18"/>
          <w:szCs w:val="18"/>
        </w:rPr>
        <w:t xml:space="preserve">Tabela 2. Selekcja postów do analizy jakościowej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200"/>
        <w:gridCol w:w="2726"/>
      </w:tblGrid>
      <w:tr>
        <w:trPr>
          <w:tblHeader/>
        </w:trP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Nr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Post (fragment)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Fenomen kulturowy</w:t>
            </w:r>
          </w:p>
        </w:tc>
        <w:tc>
          <w:tcPr>
            <w:tcW w:type="dxa" w:w="2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Framework</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 Proszę o przestawienie w trybie natychmiastowym, brak numeru telefonu oraz zastawiony pojazd.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Kanoniczny apel o przeparkowanie — wzorcowy artefakt platformy. Triada: pilność + dewiacja + prośba.</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Schein poz. 1 — artefakt językowy; norma wzajemności</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Spotterka: Wyższa inteligencja (nie ma kartki z numerem telefonu)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Ironia jako sankcja społeczna — brak agresji, lecz napiętnowanie przez humor. Norma wyrażona przez jej naruszenie.</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Goffman — stygmatyzacja; Schein poz. 2</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 UWAGA JADĄ !!!! Szybko proszę o publikację</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Alarm straży miejskiej — najkrótszy, najszybszy typ postu. Solidarność in-group vs. out-group (straż = wróg zewnętrzny).</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Hofstede — kolektywizm sytuacyjny; in-group/out-group</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 Mordeczko, wyłącz sobie światło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Altruizm parkingowy — nadawca nic nie zyskuje. Zaprzyjaźniony ton (mordeczko) wobec anonimowego kierowcy. Dowód internalizacji troski.</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Ostrom — commons; norma wzajemności</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Spotterka: Znaleziono na parkingu i zostawiono na portierni wydziału zarządzania. Pierścionek Alior Bank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Portiernia wydziału zarządzania jako trusted third party — jedyna instytucja formalna akceptowana przez wspólnotę.</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Ostrom — commons; instytucja pośrednicząca</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 Dzień dobry, chociaż nie taki dobry... Niestety na parkingu z mojej winy wydarzył się nieprzyjemny incydent... Chciałbym prosić o przekazanie kontaktu do tej osoby w celu dogadania się...</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Sprawca sam się ujawnia — zachowanie sprzeczne z logiką anonimowości. Norma honoru silniejsza niż self-preservation.</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Elster — reputacyjny sąd społeczny; Schein poz. 3</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Spotterka: Do kierowcy białego auta, który przetarł mój zderzak i odjechał: proszę o kontakt. Nie chodzi o zemstę ani o kary finansowe, tylko o odpowiedzialność i przyzwoitość.</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Odwołanie do honoru zamiast prawa — wspólnota jako wyższy autorytet moralny niż instytucje wymiaru sprawiedliwości.</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Hofstede — niski PDI; Schein poz. 3</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Do wiadomości wszystkich oburzonych... Spotted Parking PL nie jest ani właścicielem, ani zarządcą parkingu studenckiego. Przekazujemy tylko otrzymane informacje.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Admin dystansuje się od władzy — paradoks medium: neutralność jako legitymizacja. Brak odpowiedzialności = brak sankcji.</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Goffman — rama (framing); rola medium</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 26.11 15:50 Agresywny mieszkaniec Wapiennej groził mi i uszkodził lusterko... Uważajcie na siebie.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Konflikt zewnętrzny — mieszkańcy vs. studenci. Platforma jako system ostrzeżeń przed zagrożeniami spoza in-group uczelni.</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In-group/out-group; rozszerzenie funkcji platformy</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Spotter: Czy próbowaliście jako studenci poprosić np. Kanclerza PL o namalowanie na biało koperty... bo widzę na profilu że bardzo często zdarza się blokowanie wyjazdu.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Jedyna propozycja kontaktu z instytucją formalną w całym korpusie. Odpowiedź: »Ty myślisz że ktoś coś z tym zrobi xpp«</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2"/>
                <w:szCs w:val="22"/>
              </w:rPr>
              <w:t xml:space="preserve">Hofstede — niski PDI; brak zaufania do instytucji</w:t>
            </w:r>
          </w:p>
        </w:tc>
      </w:tr>
    </w:tbl>
    <w:p>
      <w:pPr>
        <w:spacing w:after="80" w:before="0"/>
      </w:pPr>
      <w:r>
        <w:t xml:space="preserve"/>
      </w:r>
    </w:p>
    <w:p>
      <w:pPr>
        <w:spacing w:after="120" w:before="0"/>
        <w:jc w:val="both"/>
      </w:pPr>
      <w:r>
        <w:rPr>
          <w:rFonts w:ascii="Arial" w:cs="Arial" w:eastAsia="Arial" w:hAnsi="Arial"/>
          <w:sz w:val="22"/>
          <w:szCs w:val="22"/>
        </w:rPr>
        <w:t xml:space="preserve">Posty nr 6 i 7 zasługują na szczególną uwagę jako przypadki ekstremalne (deviant cases). Sprawca zdarzenia sam ujawnia się na platformie — zachowanie sprzeczne z logiką anonimowego systemu, w którym racjonalność self-preservation sugerowałaby milczenie. Zjawisko to wskazuje na zinternalizowaną normę honoru silniejszą niż kalkulacja ryzyka — kluczowy wskaźnik głębi kultury wspólnoty.</w:t>
      </w:r>
    </w:p>
    <w:p>
      <w:pPr>
        <w:pStyle w:val="Heading1"/>
        <w:spacing w:after="160" w:before="320"/>
      </w:pPr>
      <w:r>
        <w:rPr>
          <w:rFonts w:ascii="Arial" w:cs="Arial" w:eastAsia="Arial" w:hAnsi="Arial"/>
          <w:b/>
          <w:bCs/>
          <w:color w:val="1F3864"/>
          <w:sz w:val="32"/>
          <w:szCs w:val="32"/>
        </w:rPr>
        <w:t xml:space="preserve">3. Taksonomia postów</w:t>
      </w:r>
    </w:p>
    <w:p>
      <w:pPr>
        <w:spacing w:after="120" w:before="0"/>
        <w:jc w:val="both"/>
      </w:pPr>
      <w:r>
        <w:rPr>
          <w:rFonts w:ascii="Arial" w:cs="Arial" w:eastAsia="Arial" w:hAnsi="Arial"/>
          <w:sz w:val="22"/>
          <w:szCs w:val="22"/>
        </w:rPr>
        <w:t xml:space="preserve">Analiza treści 320 unikalnych postów pozwoliła wyodrębnić siedem kategorii funkcjonalnych. Poniższa tabela przedstawia ich rozkład ilościowy wraz z funkcją pełnioną w systemie kulturowym wspólnoty.</w:t>
      </w:r>
    </w:p>
    <w:p>
      <w:pPr>
        <w:spacing w:after="80" w:before="0"/>
      </w:pPr>
      <w:r>
        <w:t xml:space="preserve"/>
      </w:r>
    </w:p>
    <w:p>
      <w:pPr>
        <w:spacing w:after="60" w:before="0"/>
      </w:pPr>
      <w:r>
        <w:rPr>
          <w:rFonts w:ascii="Arial" w:cs="Arial" w:eastAsia="Arial" w:hAnsi="Arial"/>
          <w:b/>
          <w:bCs/>
          <w:caps/>
          <w:color w:val="555555"/>
          <w:sz w:val="18"/>
          <w:szCs w:val="18"/>
        </w:rPr>
        <w:t xml:space="preserve">Tabela 3. Kategorie funkcjonalne postów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800"/>
        <w:gridCol w:w="45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Kategoria</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2"/>
                <w:szCs w:val="22"/>
              </w:rPr>
              <w:t xml:space="preserve">Funkcja kulturowa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Przeparkowanie / blokada wyjazdu</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~104</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33%</w:t>
            </w:r>
          </w:p>
        </w:tc>
        <w:tc>
          <w:tcPr>
            <w:tcW w:type="dxa" w:w="45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Egzekwowanie normy wzajemności przez zbiorowe świadkowanie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Inne (obserwacje, humor, info)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Wielofunkcyjność platformy; marker przynależności do wspólnoty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Ostrzeżenia o światłach / akumulatorze</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44</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14%</w:t>
            </w:r>
          </w:p>
        </w:tc>
        <w:tc>
          <w:tcPr>
            <w:tcW w:type="dxa" w:w="45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Altruizm prospołeczny — nadawca nic nie zyskuje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Kolizje / zarysowania / poszukiwania sprawców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19%</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Nieformalna sprawiedliwość; sąd reputacyjny bez instytucji</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Zgubione / znalezione przedmioty</w:t>
            </w:r>
          </w:p>
        </w:tc>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27</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45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sz w:val="22"/>
                <w:szCs w:val="22"/>
              </w:rPr>
              <w:t xml:space="preserve">Sieć zaufania; portiernia jako trusted third party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Alarmy straży miejskiej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Solidarność in-group; straż jako out-group (wróg zewnętrzny)</w:t>
            </w:r>
          </w:p>
        </w:tc>
      </w:tr>
    </w:tbl>
    <w:p>
      <w:pPr>
        <w:spacing w:after="80" w:before="0"/>
      </w:pPr>
      <w:r>
        <w:t xml:space="preserve"/>
      </w:r>
    </w:p>
    <w:p>
      <w:pPr>
        <w:spacing w:after="120" w:before="0"/>
        <w:jc w:val="both"/>
      </w:pPr>
      <w:r>
        <w:rPr>
          <w:rFonts w:ascii="Arial" w:cs="Arial" w:eastAsia="Arial" w:hAnsi="Arial"/>
          <w:sz w:val="22"/>
          <w:szCs w:val="22"/>
        </w:rPr>
        <w:t xml:space="preserve">Dominacja kategorii przeparkowanie (33%) potwierdza centralną rolę normy wzajemności w kulturze wspólnoty: zastawiasz kogoś — zostawiasz kartkę. Wysoka liczba ostrzeżeń o światłach (14%) jest wskaźnikiem zinternalizowanego altruizmu prospołecznego — nadawca nie oczekuje żadnej nagrody. Łączna kategoria kolizji i poszukiwań sprawców (19%) wskazuje, że platforma pełni funkcję nieformalnego systemu sprawiedliwości.</w:t>
      </w:r>
    </w:p>
    <w:p>
      <w:pPr>
        <w:spacing w:after="80" w:before="0"/>
      </w:pPr>
      <w:r>
        <w:t xml:space="preserve"/>
      </w:r>
    </w:p>
    <w:p>
      <w:pPr>
        <w:pBdr>
          <w:top w:val="single" w:color="CCCCCC" w:sz="4" w:space="8"/>
        </w:pBdr>
        <w:spacing w:after="0" w:before="240"/>
      </w:pPr>
      <w:r>
        <w:rPr>
          <w:rFonts w:ascii="Arial" w:cs="Arial" w:eastAsia="Arial" w:hAnsi="Arial"/>
          <w:color w:val="777777"/>
          <w:sz w:val="18"/>
          <w:szCs w:val="18"/>
        </w:rPr>
        <w:t xml:space="preserve">Uwaga: Posty do zrzutów ekranu (Aneks A) należy pobrać bezpośrednio ze strony Spotted Parking Politechniki Lubelskiej. Tabela 2 zawiera wystarczające informacje do lokalizacji każdego postu (fragment tekstu + opis kontekstu).</w:t>
      </w:r>
    </w:p>
    <w:sectPr>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2026-06-03T21:01:16.236Z</dcterms:created>
  <dcterms:modified xsi:type="dcterms:W3CDTF">2026-06-03T21:01:16.236Z</dcterms:modified>
</cp:coreProperties>
</file>

<file path=docProps/custom.xml><?xml version="1.0" encoding="utf-8"?>
<Properties xmlns="http://schemas.openxmlformats.org/officeDocument/2006/custom-properties" xmlns:vt="http://schemas.openxmlformats.org/officeDocument/2006/docPropsVTypes"/>
</file>