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ガバメントクラウド インフラ基盤チーム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Claude Code エージェント・スキル設計書 v3.2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網羅性検証レポート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2026年4月5日</w:t>
      </w:r>
    </w:p>
    <w:p>
      <w:pPr>
        <w:pBdr>
          <w:bottom w:val="single" w:color="1F4E79" w:sz="6" w:space="1"/>
        </w:pBdr>
        <w:spacing w:after="40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エグゼクティブサマリ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設計書v3.2に対し4軸で網羅性を検証した結果、全体としては強固なフレームワークであるが、23件のギャップを特定した。内訳は以下の通り。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検証軸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主な発見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軸1: 準拠基準突合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非機能要件性能・エコロジーが不足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軸2: GC案件実態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調達・移行実務・運用引継ぎが欠如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軸3: カバレッジ分析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フェーズ制御・スキル空白が主要課題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軸4: 最新情報差分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CSP追加・標準化期限緩和が未反映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軸1: 準拠基準との突合結果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設計書が掲げる6つの準拠基準それぞれについて、要求プロセス/管理策と設計書のカバー状況を突合した。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準拠基準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主な課題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IPA共通フレーム2013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合格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プロセス詳細は別紙参照。監査プロセスの具体化が待たれる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GC移行手順書 v3.0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部分的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申請手続き詳細（必要書類・審査期間）が未記述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GCASガイド/RA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合格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GC固有スキル3点で網羅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非機能要件標準 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部分的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5/6分類対応。性能・拡張性の詳細化、エコロジーが未カバー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ISMAP 305管理策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合格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インフラ主要管理策を体系的にカバー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モダンPM (DevOps/SRE)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充実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全プラクティスカバー、外部リソース補強体系も明確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軸2: GC案件ライフサイクル実態との突合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デジタル庁公式文書、自治体調達仕様書、GC先行事業中間報告、AWSパートナー事例等を複合的に調査し、実際のGC案件で発生するイベントを推定。以下の領域でギャップを特定した。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調達・契約プロセス: ASP/SIer/回線/運用管理補助者の4者並行調達が未定義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GCAS申請待機フェーズ: アカウント払出し待ち（2-4週間）の並行作業が未定義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マルチベンダー責任分界: ASPロール定義・ Interface Agreement作成フローが欠如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データ移行実務: DNS切替・証明書・ロールバックの詳細が未定義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LGWAN接続・回線調達: LGCS判定フローとNW設計の連動が曖昧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運用引継ぎ・体制移行: 複数事業者への責任分界表・引継ぎ資料が欠如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軸3: エージェント/スキルカバレッジ分析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成果物の入出力チェーン、エージェント間連携、スキルの重複・空白、ロール×フェーズマトリクスを分析した。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主要発見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フェーズ逆戻り制御ルールが未定義（構築中に設計漏れ発覚時の判定基準）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設計書→IaC、IaC→テストのトレーサビリティが曖昧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フェーズゲート判定基準に数値目標がない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スキル空白: DNS/Route53、証明書(ACM)、コンテナ、DB、パッチ管理、Runbook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軸4: 最新情報との差分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2025年後半～2026年4月の公開情報との差分をWeb検索で調査した。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さくらクラウドが2026年3月27日に正式認定→CSPが5社体制に。設計書は4社前提のまま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標準化期限の緩和: 「特定移行支援システム」は最大5年延期可。設計書は2026年3月末前提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ISMAP管理策が2025年12月に改訂済み。設計書は版番号未指定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0"/>
          <w:szCs w:val="20"/>
        </w:rPr>
        <w:t xml:space="preserve">基準参照（GC移行手順書v3.0、非機能要件v1.2）は最新版を正しく参照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ギャップ一覧（23件）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600"/>
        <w:gridCol w:w="2800"/>
        <w:gridCol w:w="48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ギャップ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推奨アクション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調達・契約プロセスの欠如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pm-procurementエージェント新設、調達スケジュール管理タスク追加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データ移行実務の詳細化不足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migration-patternsスキルにDNS/証明書/ロールバックパターン追加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運用引継ぎ・体制移行の未定義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infra-operations-handoverスキル新設、Phase 6に引継ぎタスク追加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GCAS申請待機フェーズの欠如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2-3間にGCAS申請待機フェーズを明示、並行作業定義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標準化対応と責任分界の明示化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ロール責任マトリクスにASP行追加、責任分界書テンプレート作成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ISMAP監査対応の進捗管理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5に監査準備タスク追加、infra-ismap-auditスキル新設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LGWAN接続・回線調達の連動不足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3にLGCS利用判定タスク追加、回線調達スケジュール管理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フェーズ逆戻り制御ルール未定義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新スキル phase-backtrack-rules で影響範囲別の逆戻りルール定義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設計書→IaC参照マッピング不明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infra-iac frontmatterに入力ファイル・traceability_rulesを明示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フェーズゲート判定基準の数値化不足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phase-gate-criteriaに全ゲートの数値基準を追加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品質判定→Go/No-Go権限不明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pm-quality出力を構造化、承認ルール明確化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GC移行手順書申請詳細の未記述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infra-gc-environmentに申請チェックリスト・タイムライン追加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非機能要件: 性能・拡張性の詳細化不足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性能設計パターン（RPS/レイテンシ/Auto Scaling）をスキル化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非機能要件: エコロジー指標未カバー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infra-costにAWS Sustainability Report連携を追加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ISMAP監査応答メカニズムの詳細化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/loopの月次ISMAP確認を詳細化、証跡自動収集フロー追加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スキル空白: DNS/Route53設計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gc-network-patternsにDNS設計セクション追加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スキル空白: 証明書管理(ACM)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新スキル gc-certificate-management 作成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スキル空白: コンテナ/DB/ストレージ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新スキル gc-container-patterns, gc-database-patterns 作成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スキル空白: パッチ管理/Runbook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新スキル gc-patch-management, gc-runbook-generation 作成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CSPリスト未更新（さくらクラウド追加）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CSPリストを5社に更新、CSP選定基準追加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標準化期限緩和の未反映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7に段階的移行プロセス設計を追加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ISMAP管理策改訂版の未反映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「ISMAP 305管理策（2025年12月改訂版）」に更新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G-23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軸4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GCAS参照リソースの定期更新ルールなし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参考リソースの定期更新ルールを追加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最優先対応 TOP 5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以下の5件は、設計書の実装可能性に直接影響するため、優先的に対応することを推奨する。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調達・契約プロセスの定義 (G-01)</w:t>
      </w:r>
      <w:r>
        <w:rPr>
          <w:rFonts w:ascii="Arial" w:cs="Arial" w:eastAsia="Arial" w:hAnsi="Arial"/>
          <w:sz w:val="20"/>
          <w:szCs w:val="20"/>
        </w:rPr>
        <w:t xml:space="preserve"> — GC案件は複数事業者の並行調達が必須。pm-procurementエージェントを新設し、調達スケジュールをクリティカルパスとして管理する。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フェーズ逆戻り制御ルール (G-08)</w:t>
      </w:r>
      <w:r>
        <w:rPr>
          <w:rFonts w:ascii="Arial" w:cs="Arial" w:eastAsia="Arial" w:hAnsi="Arial"/>
          <w:sz w:val="20"/>
          <w:szCs w:val="20"/>
        </w:rPr>
        <w:t xml:space="preserve"> — 構築中の設計漏れ発覚時に「どこまで戻るか」の判定がないと、影響分析フローが機能しない。phase-backtrack-rulesスキルを新設。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設計書→IaCトレーサビリティ (G-09)</w:t>
      </w:r>
      <w:r>
        <w:rPr>
          <w:rFonts w:ascii="Arial" w:cs="Arial" w:eastAsia="Arial" w:hAnsi="Arial"/>
          <w:sz w:val="20"/>
          <w:szCs w:val="20"/>
        </w:rPr>
        <w:t xml:space="preserve"> — infra-iacがどの設計書セクションを参照すべきかが不明だと、IaC実装漏れのリスクが高い。frontmatterに入力ファイルを明示。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フェーズゲート判定基準の数値化 (G-10)</w:t>
      </w:r>
      <w:r>
        <w:rPr>
          <w:rFonts w:ascii="Arial" w:cs="Arial" w:eastAsia="Arial" w:hAnsi="Arial"/>
          <w:sz w:val="20"/>
          <w:szCs w:val="20"/>
        </w:rPr>
        <w:t xml:space="preserve"> — 「テストPASS率&gt;=98%」「要件カバレッジ100%」等の具体的な数値基準がないと、ゲート判定が属人的になる。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CSPリスト・標準化期限の更新 (G-20, G-21)</w:t>
      </w:r>
      <w:r>
        <w:rPr>
          <w:rFonts w:ascii="Arial" w:cs="Arial" w:eastAsia="Arial" w:hAnsi="Arial"/>
          <w:sz w:val="20"/>
          <w:szCs w:val="20"/>
        </w:rPr>
        <w:t xml:space="preserve"> — さくらクラウド追加と特定移行支援システムの延期措置は、案件提案時の前提条件に影響する。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総合評価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設計書v3.2は22体のエージェントと33件のスキルでGCインフラ案件の主要プロセスを包括的にカバーしており、構想としては優れている。ただし、実装に移る際には上記23件のギャップを埋める必要がある。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>特に「調達・契約」「フェーズ制御」「トレーサビリティ」の3領域は、GC案件の実務で最も問題が顕在化しやすい箇所であり、優先的な対応が推奨される。また、さくらクラウドのCSP追加や標準化期限緩和などの制度変更は、案件提案時の前提条件に直接影響するため、早急に反映すべきである。</w:t>
      </w:r>
    </w:p>
    <w:p>
      <w:pPr>
        <w:spacing w:after="60" w:before="60" w:lin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調査ソース: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デジタル庁GC移行手順書v3.0 / GCASガイド / デジタル庁非機能要件標準v1.2 / ISMAP管理基準 / GC先行事業中間報告 / AWS GCガイド / 自治体システム標準化進捗報告 / SHIFTグループ技術ブログ / さくらインターネットGC認定プレスリリース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GCインフラエージェント設計書 v3.2 網羅性検証レポート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2026-04-05T02:00:14.648Z</dcterms:created>
  <dcterms:modified xsi:type="dcterms:W3CDTF">2026-04-05T02:00:14.648Z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